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jc w:val="center"/>
      </w:pPr>
      <w:r>
        <w:rPr>
          <w:rFonts w:ascii="Times New Roman" w:hAnsi="Times New Roman"/>
          <w:b/>
          <w:color w:val="1F4E79"/>
          <w:sz w:val="42"/>
        </w:rPr>
        <w:t>Beyond Gorillas: Repositioning Rwanda as a Premium, Multi-Experience Destination</w:t>
      </w:r>
    </w:p>
    <w:p>
      <w:pPr>
        <w:jc w:val="center"/>
      </w:pPr>
      <w:r>
        <w:rPr>
          <w:rFonts w:ascii="Times New Roman" w:hAnsi="Times New Roman"/>
          <w:i/>
          <w:color w:val="505050"/>
          <w:sz w:val="28"/>
        </w:rPr>
        <w:t>Destination Rebranding, Segmentation and Sustainable Growth Strategy</w:t>
      </w:r>
    </w:p>
    <w:p/>
    <w:tbl>
      <w:tblPr>
        <w:tblW w:type="auto" w:w="0"/>
        <w:jc w:val="center"/>
        <w:tblLayout w:type="fixed"/>
        <w:tblLook w:firstColumn="1" w:firstRow="1" w:lastColumn="0" w:lastRow="0" w:noHBand="0" w:noVBand="1" w:val="04A0"/>
      </w:tblPr>
      <w:tblGrid>
        <w:gridCol w:w="2304"/>
        <w:gridCol w:w="7056"/>
      </w:tblGrid>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Module</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Marketing Fundamentals</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Assessment</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Detailed Project Report</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Assignment Option</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Option 1 - Destination Rebranding and Market Segmentation Strategy</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Case Focus</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Rwanda: conservation, culture, MICE and high-value experiential tourism</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Student Name</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____________________________</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Student ID</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____________________________</w:t>
            </w:r>
          </w:p>
        </w:tc>
      </w:tr>
      <w:tr>
        <w:tc>
          <w:tcPr>
            <w:tcW w:type="dxa" w:w="4896"/>
            <w:shd w:fill="EAF0F6"/>
            <w:tcMar>
              <w:top w:w="80" w:type="dxa"/>
              <w:start w:w="100" w:type="dxa"/>
              <w:bottom w:w="80" w:type="dxa"/>
              <w:end w:w="100" w:type="dxa"/>
            </w:tcMar>
            <w:vAlign w:val="center"/>
          </w:tcPr>
          <w:p>
            <w:pPr>
              <w:spacing w:line="240" w:lineRule="auto" w:after="0"/>
              <w:ind w:firstLine="0"/>
            </w:pPr>
            <w:r>
              <w:rPr>
                <w:rFonts w:ascii="Times New Roman" w:hAnsi="Times New Roman"/>
                <w:b/>
                <w:sz w:val="24"/>
              </w:rPr>
              <w:t>Submission Date</w:t>
            </w:r>
          </w:p>
        </w:tc>
        <w:tc>
          <w:tcPr>
            <w:tcW w:type="dxa" w:w="4896"/>
            <w:tcMar>
              <w:top w:w="80" w:type="dxa"/>
              <w:start w:w="100" w:type="dxa"/>
              <w:bottom w:w="80" w:type="dxa"/>
              <w:end w:w="100" w:type="dxa"/>
            </w:tcMar>
            <w:vAlign w:val="center"/>
          </w:tcPr>
          <w:p>
            <w:pPr>
              <w:spacing w:line="240" w:lineRule="auto" w:after="0"/>
              <w:ind w:firstLine="0"/>
            </w:pPr>
            <w:r>
              <w:rPr>
                <w:rFonts w:ascii="Times New Roman" w:hAnsi="Times New Roman"/>
                <w:b w:val="0"/>
                <w:sz w:val="24"/>
              </w:rPr>
              <w:t>____________________________</w:t>
            </w:r>
          </w:p>
        </w:tc>
      </w:tr>
    </w:tbl>
    <w:p/>
    <w:p>
      <w:r>
        <w:br w:type="page"/>
      </w:r>
    </w:p>
    <w:p>
      <w:pPr>
        <w:pStyle w:val="Heading1"/>
        <w:spacing w:before="0" w:after="200" w:line="240" w:lineRule="auto"/>
        <w:ind w:firstLine="0"/>
        <w:jc w:val="center"/>
      </w:pPr>
      <w:r>
        <w:rPr>
          <w:rFonts w:ascii="Times New Roman" w:hAnsi="Times New Roman"/>
          <w:b/>
          <w:sz w:val="28"/>
        </w:rPr>
        <w:t>Table of Contents</w:t>
      </w:r>
    </w:p>
    <w:p>
      <w:pPr>
        <w:keepLines/>
        <w:tabs>
          <w:tab w:pos="9734" w:val="right" w:leader="dot"/>
        </w:tabs>
        <w:spacing w:line="240" w:lineRule="auto" w:before="0" w:after="40"/>
        <w:ind w:left="0" w:firstLine="0"/>
      </w:pPr>
      <w:r>
        <w:rPr>
          <w:rFonts w:ascii="Times New Roman" w:hAnsi="Times New Roman"/>
          <w:b/>
          <w:sz w:val="22"/>
        </w:rPr>
        <w:t>Executive Summary</w:t>
      </w:r>
      <w:r>
        <w:rPr>
          <w:rFonts w:ascii="Times New Roman" w:hAnsi="Times New Roman"/>
          <w:b/>
          <w:sz w:val="22"/>
        </w:rPr>
        <w:tab/>
      </w:r>
      <w:r>
        <w:rPr>
          <w:rFonts w:ascii="Times New Roman" w:hAnsi="Times New Roman"/>
          <w:b/>
          <w:sz w:val="22"/>
        </w:rPr>
        <w:t>3</w:t>
      </w:r>
    </w:p>
    <w:p>
      <w:pPr>
        <w:keepLines/>
        <w:tabs>
          <w:tab w:pos="9734" w:val="right" w:leader="dot"/>
        </w:tabs>
        <w:spacing w:line="240" w:lineRule="auto" w:before="0" w:after="40"/>
        <w:ind w:left="0" w:firstLine="0"/>
      </w:pPr>
      <w:r>
        <w:rPr>
          <w:rFonts w:ascii="Times New Roman" w:hAnsi="Times New Roman"/>
          <w:b/>
          <w:sz w:val="22"/>
        </w:rPr>
        <w:t>Introduction</w:t>
      </w:r>
      <w:r>
        <w:rPr>
          <w:rFonts w:ascii="Times New Roman" w:hAnsi="Times New Roman"/>
          <w:b/>
          <w:sz w:val="22"/>
        </w:rPr>
        <w:tab/>
      </w:r>
      <w:r>
        <w:rPr>
          <w:rFonts w:ascii="Times New Roman" w:hAnsi="Times New Roman"/>
          <w:b/>
          <w:sz w:val="22"/>
        </w:rPr>
        <w:t>4</w:t>
      </w:r>
    </w:p>
    <w:p>
      <w:pPr>
        <w:keepLines/>
        <w:tabs>
          <w:tab w:pos="9734" w:val="right" w:leader="dot"/>
        </w:tabs>
        <w:spacing w:line="240" w:lineRule="auto" w:before="0" w:after="0"/>
        <w:ind w:left="403" w:firstLine="0"/>
      </w:pPr>
      <w:r>
        <w:rPr>
          <w:rFonts w:ascii="Times New Roman" w:hAnsi="Times New Roman"/>
          <w:b w:val="0"/>
          <w:sz w:val="22"/>
        </w:rPr>
        <w:t>Strategic Problem Definition</w:t>
      </w:r>
      <w:r>
        <w:rPr>
          <w:rFonts w:ascii="Times New Roman" w:hAnsi="Times New Roman"/>
          <w:b w:val="0"/>
          <w:sz w:val="22"/>
        </w:rPr>
        <w:tab/>
      </w:r>
      <w:r>
        <w:rPr>
          <w:rFonts w:ascii="Times New Roman" w:hAnsi="Times New Roman"/>
          <w:b w:val="0"/>
          <w:sz w:val="22"/>
        </w:rPr>
        <w:t>4</w:t>
      </w:r>
    </w:p>
    <w:p>
      <w:pPr>
        <w:keepLines/>
        <w:tabs>
          <w:tab w:pos="9734" w:val="right" w:leader="dot"/>
        </w:tabs>
        <w:spacing w:line="240" w:lineRule="auto" w:before="0" w:after="40"/>
        <w:ind w:left="0" w:firstLine="0"/>
      </w:pPr>
      <w:r>
        <w:rPr>
          <w:rFonts w:ascii="Times New Roman" w:hAnsi="Times New Roman"/>
          <w:b/>
          <w:sz w:val="22"/>
        </w:rPr>
        <w:t>Market &amp; Consumer Behaviour Analysis</w:t>
      </w:r>
      <w:r>
        <w:rPr>
          <w:rFonts w:ascii="Times New Roman" w:hAnsi="Times New Roman"/>
          <w:b/>
          <w:sz w:val="22"/>
        </w:rPr>
        <w:tab/>
      </w:r>
      <w:r>
        <w:rPr>
          <w:rFonts w:ascii="Times New Roman" w:hAnsi="Times New Roman"/>
          <w:b/>
          <w:sz w:val="22"/>
        </w:rPr>
        <w:t>5</w:t>
      </w:r>
    </w:p>
    <w:p>
      <w:pPr>
        <w:keepLines/>
        <w:tabs>
          <w:tab w:pos="9734" w:val="right" w:leader="dot"/>
        </w:tabs>
        <w:spacing w:line="240" w:lineRule="auto" w:before="0" w:after="0"/>
        <w:ind w:left="403" w:firstLine="0"/>
      </w:pPr>
      <w:r>
        <w:rPr>
          <w:rFonts w:ascii="Times New Roman" w:hAnsi="Times New Roman"/>
          <w:b w:val="0"/>
          <w:sz w:val="22"/>
        </w:rPr>
        <w:t>PESTEL Environment</w:t>
      </w:r>
      <w:r>
        <w:rPr>
          <w:rFonts w:ascii="Times New Roman" w:hAnsi="Times New Roman"/>
          <w:b w:val="0"/>
          <w:sz w:val="22"/>
        </w:rPr>
        <w:tab/>
      </w:r>
      <w:r>
        <w:rPr>
          <w:rFonts w:ascii="Times New Roman" w:hAnsi="Times New Roman"/>
          <w:b w:val="0"/>
          <w:sz w:val="22"/>
        </w:rPr>
        <w:t>5</w:t>
      </w:r>
    </w:p>
    <w:p>
      <w:pPr>
        <w:keepLines/>
        <w:tabs>
          <w:tab w:pos="9734" w:val="right" w:leader="dot"/>
        </w:tabs>
        <w:spacing w:line="240" w:lineRule="auto" w:before="0" w:after="0"/>
        <w:ind w:left="403" w:firstLine="0"/>
      </w:pPr>
      <w:r>
        <w:rPr>
          <w:rFonts w:ascii="Times New Roman" w:hAnsi="Times New Roman"/>
          <w:b w:val="0"/>
          <w:sz w:val="22"/>
        </w:rPr>
        <w:t>Consumer Psychology and the Destination Image Gap</w:t>
      </w:r>
      <w:r>
        <w:rPr>
          <w:rFonts w:ascii="Times New Roman" w:hAnsi="Times New Roman"/>
          <w:b w:val="0"/>
          <w:sz w:val="22"/>
        </w:rPr>
        <w:tab/>
      </w:r>
      <w:r>
        <w:rPr>
          <w:rFonts w:ascii="Times New Roman" w:hAnsi="Times New Roman"/>
          <w:b w:val="0"/>
          <w:sz w:val="22"/>
        </w:rPr>
        <w:t>7</w:t>
      </w:r>
    </w:p>
    <w:p>
      <w:pPr>
        <w:keepLines/>
        <w:tabs>
          <w:tab w:pos="9734" w:val="right" w:leader="dot"/>
        </w:tabs>
        <w:spacing w:line="240" w:lineRule="auto" w:before="0" w:after="0"/>
        <w:ind w:left="403" w:firstLine="0"/>
      </w:pPr>
      <w:r>
        <w:rPr>
          <w:rFonts w:ascii="Times New Roman" w:hAnsi="Times New Roman"/>
          <w:b w:val="0"/>
          <w:sz w:val="22"/>
        </w:rPr>
        <w:t>Macro Demand Trends</w:t>
      </w:r>
      <w:r>
        <w:rPr>
          <w:rFonts w:ascii="Times New Roman" w:hAnsi="Times New Roman"/>
          <w:b w:val="0"/>
          <w:sz w:val="22"/>
        </w:rPr>
        <w:tab/>
      </w:r>
      <w:r>
        <w:rPr>
          <w:rFonts w:ascii="Times New Roman" w:hAnsi="Times New Roman"/>
          <w:b w:val="0"/>
          <w:sz w:val="22"/>
        </w:rPr>
        <w:t>8</w:t>
      </w:r>
    </w:p>
    <w:p>
      <w:pPr>
        <w:keepLines/>
        <w:tabs>
          <w:tab w:pos="9734" w:val="right" w:leader="dot"/>
        </w:tabs>
        <w:spacing w:line="240" w:lineRule="auto" w:before="0" w:after="40"/>
        <w:ind w:left="0" w:firstLine="0"/>
      </w:pPr>
      <w:r>
        <w:rPr>
          <w:rFonts w:ascii="Times New Roman" w:hAnsi="Times New Roman"/>
          <w:b/>
          <w:sz w:val="22"/>
        </w:rPr>
        <w:t>Segmentation, Targeting, and Positioning (STP)</w:t>
      </w:r>
      <w:r>
        <w:rPr>
          <w:rFonts w:ascii="Times New Roman" w:hAnsi="Times New Roman"/>
          <w:b/>
          <w:sz w:val="22"/>
        </w:rPr>
        <w:tab/>
      </w:r>
      <w:r>
        <w:rPr>
          <w:rFonts w:ascii="Times New Roman" w:hAnsi="Times New Roman"/>
          <w:b/>
          <w:sz w:val="22"/>
        </w:rPr>
        <w:t>9</w:t>
      </w:r>
    </w:p>
    <w:p>
      <w:pPr>
        <w:keepLines/>
        <w:tabs>
          <w:tab w:pos="9734" w:val="right" w:leader="dot"/>
        </w:tabs>
        <w:spacing w:line="240" w:lineRule="auto" w:before="0" w:after="0"/>
        <w:ind w:left="403" w:firstLine="0"/>
      </w:pPr>
      <w:r>
        <w:rPr>
          <w:rFonts w:ascii="Times New Roman" w:hAnsi="Times New Roman"/>
          <w:b w:val="0"/>
          <w:sz w:val="22"/>
        </w:rPr>
        <w:t>Moving Beyond Demographics</w:t>
      </w:r>
      <w:r>
        <w:rPr>
          <w:rFonts w:ascii="Times New Roman" w:hAnsi="Times New Roman"/>
          <w:b w:val="0"/>
          <w:sz w:val="22"/>
        </w:rPr>
        <w:tab/>
      </w:r>
      <w:r>
        <w:rPr>
          <w:rFonts w:ascii="Times New Roman" w:hAnsi="Times New Roman"/>
          <w:b w:val="0"/>
          <w:sz w:val="22"/>
        </w:rPr>
        <w:t>9</w:t>
      </w:r>
    </w:p>
    <w:p>
      <w:pPr>
        <w:keepLines/>
        <w:tabs>
          <w:tab w:pos="9734" w:val="right" w:leader="dot"/>
        </w:tabs>
        <w:spacing w:line="240" w:lineRule="auto" w:before="0" w:after="0"/>
        <w:ind w:left="403" w:firstLine="0"/>
      </w:pPr>
      <w:r>
        <w:rPr>
          <w:rFonts w:ascii="Times New Roman" w:hAnsi="Times New Roman"/>
          <w:b w:val="0"/>
          <w:sz w:val="22"/>
        </w:rPr>
        <w:t>Priority Segment 1: Conservation-Led Premium Explorers</w:t>
      </w:r>
      <w:r>
        <w:rPr>
          <w:rFonts w:ascii="Times New Roman" w:hAnsi="Times New Roman"/>
          <w:b w:val="0"/>
          <w:sz w:val="22"/>
        </w:rPr>
        <w:tab/>
      </w:r>
      <w:r>
        <w:rPr>
          <w:rFonts w:ascii="Times New Roman" w:hAnsi="Times New Roman"/>
          <w:b w:val="0"/>
          <w:sz w:val="22"/>
        </w:rPr>
        <w:t>9</w:t>
      </w:r>
    </w:p>
    <w:p>
      <w:pPr>
        <w:keepLines/>
        <w:tabs>
          <w:tab w:pos="9734" w:val="right" w:leader="dot"/>
        </w:tabs>
        <w:spacing w:line="240" w:lineRule="auto" w:before="0" w:after="0"/>
        <w:ind w:left="403" w:firstLine="0"/>
      </w:pPr>
      <w:r>
        <w:rPr>
          <w:rFonts w:ascii="Times New Roman" w:hAnsi="Times New Roman"/>
          <w:b w:val="0"/>
          <w:sz w:val="22"/>
        </w:rPr>
        <w:t>Priority Segment 2: African Urban-Culture and Event Travellers</w:t>
      </w:r>
      <w:r>
        <w:rPr>
          <w:rFonts w:ascii="Times New Roman" w:hAnsi="Times New Roman"/>
          <w:b w:val="0"/>
          <w:sz w:val="22"/>
        </w:rPr>
        <w:tab/>
      </w:r>
      <w:r>
        <w:rPr>
          <w:rFonts w:ascii="Times New Roman" w:hAnsi="Times New Roman"/>
          <w:b w:val="0"/>
          <w:sz w:val="22"/>
        </w:rPr>
        <w:t>10</w:t>
      </w:r>
    </w:p>
    <w:p>
      <w:pPr>
        <w:keepLines/>
        <w:tabs>
          <w:tab w:pos="9734" w:val="right" w:leader="dot"/>
        </w:tabs>
        <w:spacing w:line="240" w:lineRule="auto" w:before="0" w:after="0"/>
        <w:ind w:left="403" w:firstLine="0"/>
      </w:pPr>
      <w:r>
        <w:rPr>
          <w:rFonts w:ascii="Times New Roman" w:hAnsi="Times New Roman"/>
          <w:b w:val="0"/>
          <w:sz w:val="22"/>
        </w:rPr>
        <w:t>Priority Segment 3: Purpose-Driven Small Groups</w:t>
      </w:r>
      <w:r>
        <w:rPr>
          <w:rFonts w:ascii="Times New Roman" w:hAnsi="Times New Roman"/>
          <w:b w:val="0"/>
          <w:sz w:val="22"/>
        </w:rPr>
        <w:tab/>
      </w:r>
      <w:r>
        <w:rPr>
          <w:rFonts w:ascii="Times New Roman" w:hAnsi="Times New Roman"/>
          <w:b w:val="0"/>
          <w:sz w:val="22"/>
        </w:rPr>
        <w:t>10</w:t>
      </w:r>
    </w:p>
    <w:p>
      <w:pPr>
        <w:keepLines/>
        <w:tabs>
          <w:tab w:pos="9734" w:val="right" w:leader="dot"/>
        </w:tabs>
        <w:spacing w:line="240" w:lineRule="auto" w:before="0" w:after="0"/>
        <w:ind w:left="403" w:firstLine="0"/>
      </w:pPr>
      <w:r>
        <w:rPr>
          <w:rFonts w:ascii="Times New Roman" w:hAnsi="Times New Roman"/>
          <w:b w:val="0"/>
          <w:sz w:val="22"/>
        </w:rPr>
        <w:t>Strategic Positioning</w:t>
      </w:r>
      <w:r>
        <w:rPr>
          <w:rFonts w:ascii="Times New Roman" w:hAnsi="Times New Roman"/>
          <w:b w:val="0"/>
          <w:sz w:val="22"/>
        </w:rPr>
        <w:tab/>
      </w:r>
      <w:r>
        <w:rPr>
          <w:rFonts w:ascii="Times New Roman" w:hAnsi="Times New Roman"/>
          <w:b w:val="0"/>
          <w:sz w:val="22"/>
        </w:rPr>
        <w:t>11</w:t>
      </w:r>
    </w:p>
    <w:p>
      <w:pPr>
        <w:keepLines/>
        <w:tabs>
          <w:tab w:pos="9734" w:val="right" w:leader="dot"/>
        </w:tabs>
        <w:spacing w:line="240" w:lineRule="auto" w:before="0" w:after="0"/>
        <w:ind w:left="403" w:firstLine="0"/>
      </w:pPr>
      <w:r>
        <w:rPr>
          <w:rFonts w:ascii="Times New Roman" w:hAnsi="Times New Roman"/>
          <w:b w:val="0"/>
          <w:sz w:val="22"/>
        </w:rPr>
        <w:t>Rebranding Success, Risk and the Overtourism Lesson</w:t>
      </w:r>
      <w:r>
        <w:rPr>
          <w:rFonts w:ascii="Times New Roman" w:hAnsi="Times New Roman"/>
          <w:b w:val="0"/>
          <w:sz w:val="22"/>
        </w:rPr>
        <w:tab/>
      </w:r>
      <w:r>
        <w:rPr>
          <w:rFonts w:ascii="Times New Roman" w:hAnsi="Times New Roman"/>
          <w:b w:val="0"/>
          <w:sz w:val="22"/>
        </w:rPr>
        <w:t>12</w:t>
      </w:r>
    </w:p>
    <w:p>
      <w:pPr>
        <w:keepLines/>
        <w:tabs>
          <w:tab w:pos="9734" w:val="right" w:leader="dot"/>
        </w:tabs>
        <w:spacing w:line="240" w:lineRule="auto" w:before="0" w:after="40"/>
        <w:ind w:left="0" w:firstLine="0"/>
      </w:pPr>
      <w:r>
        <w:rPr>
          <w:rFonts w:ascii="Times New Roman" w:hAnsi="Times New Roman"/>
          <w:b/>
          <w:sz w:val="22"/>
        </w:rPr>
        <w:t>Extended Tourism Marketing Mix (7 Ps)</w:t>
      </w:r>
      <w:r>
        <w:rPr>
          <w:rFonts w:ascii="Times New Roman" w:hAnsi="Times New Roman"/>
          <w:b/>
          <w:sz w:val="22"/>
        </w:rPr>
        <w:tab/>
      </w:r>
      <w:r>
        <w:rPr>
          <w:rFonts w:ascii="Times New Roman" w:hAnsi="Times New Roman"/>
          <w:b/>
          <w:sz w:val="22"/>
        </w:rPr>
        <w:t>12</w:t>
      </w:r>
    </w:p>
    <w:p>
      <w:pPr>
        <w:keepLines/>
        <w:tabs>
          <w:tab w:pos="9734" w:val="right" w:leader="dot"/>
        </w:tabs>
        <w:spacing w:line="240" w:lineRule="auto" w:before="0" w:after="0"/>
        <w:ind w:left="403" w:firstLine="0"/>
      </w:pPr>
      <w:r>
        <w:rPr>
          <w:rFonts w:ascii="Times New Roman" w:hAnsi="Times New Roman"/>
          <w:b w:val="0"/>
          <w:sz w:val="22"/>
        </w:rPr>
        <w:t>Product</w:t>
      </w:r>
      <w:r>
        <w:rPr>
          <w:rFonts w:ascii="Times New Roman" w:hAnsi="Times New Roman"/>
          <w:b w:val="0"/>
          <w:sz w:val="22"/>
        </w:rPr>
        <w:tab/>
      </w:r>
      <w:r>
        <w:rPr>
          <w:rFonts w:ascii="Times New Roman" w:hAnsi="Times New Roman"/>
          <w:b w:val="0"/>
          <w:sz w:val="22"/>
        </w:rPr>
        <w:t>12</w:t>
      </w:r>
    </w:p>
    <w:p>
      <w:pPr>
        <w:keepLines/>
        <w:tabs>
          <w:tab w:pos="9734" w:val="right" w:leader="dot"/>
        </w:tabs>
        <w:spacing w:line="240" w:lineRule="auto" w:before="0" w:after="0"/>
        <w:ind w:left="403" w:firstLine="0"/>
      </w:pPr>
      <w:r>
        <w:rPr>
          <w:rFonts w:ascii="Times New Roman" w:hAnsi="Times New Roman"/>
          <w:b w:val="0"/>
          <w:sz w:val="22"/>
        </w:rPr>
        <w:t>Price</w:t>
      </w:r>
      <w:r>
        <w:rPr>
          <w:rFonts w:ascii="Times New Roman" w:hAnsi="Times New Roman"/>
          <w:b w:val="0"/>
          <w:sz w:val="22"/>
        </w:rPr>
        <w:tab/>
      </w:r>
      <w:r>
        <w:rPr>
          <w:rFonts w:ascii="Times New Roman" w:hAnsi="Times New Roman"/>
          <w:b w:val="0"/>
          <w:sz w:val="22"/>
        </w:rPr>
        <w:t>13</w:t>
      </w:r>
    </w:p>
    <w:p>
      <w:pPr>
        <w:keepLines/>
        <w:tabs>
          <w:tab w:pos="9734" w:val="right" w:leader="dot"/>
        </w:tabs>
        <w:spacing w:line="240" w:lineRule="auto" w:before="0" w:after="0"/>
        <w:ind w:left="403" w:firstLine="0"/>
      </w:pPr>
      <w:r>
        <w:rPr>
          <w:rFonts w:ascii="Times New Roman" w:hAnsi="Times New Roman"/>
          <w:b w:val="0"/>
          <w:sz w:val="22"/>
        </w:rPr>
        <w:t>Place</w:t>
      </w:r>
      <w:r>
        <w:rPr>
          <w:rFonts w:ascii="Times New Roman" w:hAnsi="Times New Roman"/>
          <w:b w:val="0"/>
          <w:sz w:val="22"/>
        </w:rPr>
        <w:tab/>
      </w:r>
      <w:r>
        <w:rPr>
          <w:rFonts w:ascii="Times New Roman" w:hAnsi="Times New Roman"/>
          <w:b w:val="0"/>
          <w:sz w:val="22"/>
        </w:rPr>
        <w:t>13</w:t>
      </w:r>
    </w:p>
    <w:p>
      <w:pPr>
        <w:keepLines/>
        <w:tabs>
          <w:tab w:pos="9734" w:val="right" w:leader="dot"/>
        </w:tabs>
        <w:spacing w:line="240" w:lineRule="auto" w:before="0" w:after="0"/>
        <w:ind w:left="403" w:firstLine="0"/>
      </w:pPr>
      <w:r>
        <w:rPr>
          <w:rFonts w:ascii="Times New Roman" w:hAnsi="Times New Roman"/>
          <w:b w:val="0"/>
          <w:sz w:val="22"/>
        </w:rPr>
        <w:t>Promotion</w:t>
      </w:r>
      <w:r>
        <w:rPr>
          <w:rFonts w:ascii="Times New Roman" w:hAnsi="Times New Roman"/>
          <w:b w:val="0"/>
          <w:sz w:val="22"/>
        </w:rPr>
        <w:tab/>
      </w:r>
      <w:r>
        <w:rPr>
          <w:rFonts w:ascii="Times New Roman" w:hAnsi="Times New Roman"/>
          <w:b w:val="0"/>
          <w:sz w:val="22"/>
        </w:rPr>
        <w:t>13</w:t>
      </w:r>
    </w:p>
    <w:p>
      <w:pPr>
        <w:keepLines/>
        <w:tabs>
          <w:tab w:pos="9734" w:val="right" w:leader="dot"/>
        </w:tabs>
        <w:spacing w:line="240" w:lineRule="auto" w:before="0" w:after="0"/>
        <w:ind w:left="403" w:firstLine="0"/>
      </w:pPr>
      <w:r>
        <w:rPr>
          <w:rFonts w:ascii="Times New Roman" w:hAnsi="Times New Roman"/>
          <w:b w:val="0"/>
          <w:sz w:val="22"/>
        </w:rPr>
        <w:t>People</w:t>
      </w:r>
      <w:r>
        <w:rPr>
          <w:rFonts w:ascii="Times New Roman" w:hAnsi="Times New Roman"/>
          <w:b w:val="0"/>
          <w:sz w:val="22"/>
        </w:rPr>
        <w:tab/>
      </w:r>
      <w:r>
        <w:rPr>
          <w:rFonts w:ascii="Times New Roman" w:hAnsi="Times New Roman"/>
          <w:b w:val="0"/>
          <w:sz w:val="22"/>
        </w:rPr>
        <w:t>14</w:t>
      </w:r>
    </w:p>
    <w:p>
      <w:pPr>
        <w:keepLines/>
        <w:tabs>
          <w:tab w:pos="9734" w:val="right" w:leader="dot"/>
        </w:tabs>
        <w:spacing w:line="240" w:lineRule="auto" w:before="0" w:after="0"/>
        <w:ind w:left="403" w:firstLine="0"/>
      </w:pPr>
      <w:r>
        <w:rPr>
          <w:rFonts w:ascii="Times New Roman" w:hAnsi="Times New Roman"/>
          <w:b w:val="0"/>
          <w:sz w:val="22"/>
        </w:rPr>
        <w:t>Process</w:t>
      </w:r>
      <w:r>
        <w:rPr>
          <w:rFonts w:ascii="Times New Roman" w:hAnsi="Times New Roman"/>
          <w:b w:val="0"/>
          <w:sz w:val="22"/>
        </w:rPr>
        <w:tab/>
      </w:r>
      <w:r>
        <w:rPr>
          <w:rFonts w:ascii="Times New Roman" w:hAnsi="Times New Roman"/>
          <w:b w:val="0"/>
          <w:sz w:val="22"/>
        </w:rPr>
        <w:t>14</w:t>
      </w:r>
    </w:p>
    <w:p>
      <w:pPr>
        <w:keepLines/>
        <w:tabs>
          <w:tab w:pos="9734" w:val="right" w:leader="dot"/>
        </w:tabs>
        <w:spacing w:line="240" w:lineRule="auto" w:before="0" w:after="0"/>
        <w:ind w:left="403" w:firstLine="0"/>
      </w:pPr>
      <w:r>
        <w:rPr>
          <w:rFonts w:ascii="Times New Roman" w:hAnsi="Times New Roman"/>
          <w:b w:val="0"/>
          <w:sz w:val="22"/>
        </w:rPr>
        <w:t>Physical Evidence</w:t>
      </w:r>
      <w:r>
        <w:rPr>
          <w:rFonts w:ascii="Times New Roman" w:hAnsi="Times New Roman"/>
          <w:b w:val="0"/>
          <w:sz w:val="22"/>
        </w:rPr>
        <w:tab/>
      </w:r>
      <w:r>
        <w:rPr>
          <w:rFonts w:ascii="Times New Roman" w:hAnsi="Times New Roman"/>
          <w:b w:val="0"/>
          <w:sz w:val="22"/>
        </w:rPr>
        <w:t>14</w:t>
      </w:r>
    </w:p>
    <w:p>
      <w:pPr>
        <w:keepLines/>
        <w:tabs>
          <w:tab w:pos="9734" w:val="right" w:leader="dot"/>
        </w:tabs>
        <w:spacing w:line="240" w:lineRule="auto" w:before="0" w:after="40"/>
        <w:ind w:left="0" w:firstLine="0"/>
      </w:pPr>
      <w:r>
        <w:rPr>
          <w:rFonts w:ascii="Times New Roman" w:hAnsi="Times New Roman"/>
          <w:b/>
          <w:sz w:val="22"/>
        </w:rPr>
        <w:t>Implementation, Budgeting &amp; KPIs</w:t>
      </w:r>
      <w:r>
        <w:rPr>
          <w:rFonts w:ascii="Times New Roman" w:hAnsi="Times New Roman"/>
          <w:b/>
          <w:sz w:val="22"/>
        </w:rPr>
        <w:tab/>
      </w:r>
      <w:r>
        <w:rPr>
          <w:rFonts w:ascii="Times New Roman" w:hAnsi="Times New Roman"/>
          <w:b/>
          <w:sz w:val="22"/>
        </w:rPr>
        <w:t>15</w:t>
      </w:r>
    </w:p>
    <w:p>
      <w:pPr>
        <w:keepLines/>
        <w:tabs>
          <w:tab w:pos="9734" w:val="right" w:leader="dot"/>
        </w:tabs>
        <w:spacing w:line="240" w:lineRule="auto" w:before="0" w:after="0"/>
        <w:ind w:left="403" w:firstLine="0"/>
      </w:pPr>
      <w:r>
        <w:rPr>
          <w:rFonts w:ascii="Times New Roman" w:hAnsi="Times New Roman"/>
          <w:b w:val="0"/>
          <w:sz w:val="22"/>
        </w:rPr>
        <w:t>Twelve-Month Implementation Roadmap</w:t>
      </w:r>
      <w:r>
        <w:rPr>
          <w:rFonts w:ascii="Times New Roman" w:hAnsi="Times New Roman"/>
          <w:b w:val="0"/>
          <w:sz w:val="22"/>
        </w:rPr>
        <w:tab/>
      </w:r>
      <w:r>
        <w:rPr>
          <w:rFonts w:ascii="Times New Roman" w:hAnsi="Times New Roman"/>
          <w:b w:val="0"/>
          <w:sz w:val="22"/>
        </w:rPr>
        <w:t>15</w:t>
      </w:r>
    </w:p>
    <w:p>
      <w:pPr>
        <w:keepLines/>
        <w:tabs>
          <w:tab w:pos="9734" w:val="right" w:leader="dot"/>
        </w:tabs>
        <w:spacing w:line="240" w:lineRule="auto" w:before="0" w:after="0"/>
        <w:ind w:left="403" w:firstLine="0"/>
      </w:pPr>
      <w:r>
        <w:rPr>
          <w:rFonts w:ascii="Times New Roman" w:hAnsi="Times New Roman"/>
          <w:b w:val="0"/>
          <w:sz w:val="22"/>
        </w:rPr>
        <w:t>Risk Management and Strategic Controls</w:t>
      </w:r>
      <w:r>
        <w:rPr>
          <w:rFonts w:ascii="Times New Roman" w:hAnsi="Times New Roman"/>
          <w:b w:val="0"/>
          <w:sz w:val="22"/>
        </w:rPr>
        <w:tab/>
      </w:r>
      <w:r>
        <w:rPr>
          <w:rFonts w:ascii="Times New Roman" w:hAnsi="Times New Roman"/>
          <w:b w:val="0"/>
          <w:sz w:val="22"/>
        </w:rPr>
        <w:t>16</w:t>
      </w:r>
    </w:p>
    <w:p>
      <w:pPr>
        <w:keepLines/>
        <w:tabs>
          <w:tab w:pos="9734" w:val="right" w:leader="dot"/>
        </w:tabs>
        <w:spacing w:line="240" w:lineRule="auto" w:before="0" w:after="0"/>
        <w:ind w:left="403" w:firstLine="0"/>
      </w:pPr>
      <w:r>
        <w:rPr>
          <w:rFonts w:ascii="Times New Roman" w:hAnsi="Times New Roman"/>
          <w:b w:val="0"/>
          <w:sz w:val="22"/>
        </w:rPr>
        <w:t>KPI Architecture</w:t>
      </w:r>
      <w:r>
        <w:rPr>
          <w:rFonts w:ascii="Times New Roman" w:hAnsi="Times New Roman"/>
          <w:b w:val="0"/>
          <w:sz w:val="22"/>
        </w:rPr>
        <w:tab/>
      </w:r>
      <w:r>
        <w:rPr>
          <w:rFonts w:ascii="Times New Roman" w:hAnsi="Times New Roman"/>
          <w:b w:val="0"/>
          <w:sz w:val="22"/>
        </w:rPr>
        <w:t>17</w:t>
      </w:r>
    </w:p>
    <w:p>
      <w:pPr>
        <w:keepLines/>
        <w:tabs>
          <w:tab w:pos="9734" w:val="right" w:leader="dot"/>
        </w:tabs>
        <w:spacing w:line="240" w:lineRule="auto" w:before="0" w:after="40"/>
        <w:ind w:left="0" w:firstLine="0"/>
      </w:pPr>
      <w:r>
        <w:rPr>
          <w:rFonts w:ascii="Times New Roman" w:hAnsi="Times New Roman"/>
          <w:b/>
          <w:sz w:val="22"/>
        </w:rPr>
        <w:t>Conclusion &amp; Recommendations</w:t>
      </w:r>
      <w:r>
        <w:rPr>
          <w:rFonts w:ascii="Times New Roman" w:hAnsi="Times New Roman"/>
          <w:b/>
          <w:sz w:val="22"/>
        </w:rPr>
        <w:tab/>
      </w:r>
      <w:r>
        <w:rPr>
          <w:rFonts w:ascii="Times New Roman" w:hAnsi="Times New Roman"/>
          <w:b/>
          <w:sz w:val="22"/>
        </w:rPr>
        <w:t>18</w:t>
      </w:r>
    </w:p>
    <w:p>
      <w:pPr>
        <w:keepLines/>
        <w:tabs>
          <w:tab w:pos="9734" w:val="right" w:leader="dot"/>
        </w:tabs>
        <w:spacing w:line="240" w:lineRule="auto" w:before="0" w:after="40"/>
        <w:ind w:left="0" w:firstLine="0"/>
      </w:pPr>
      <w:r>
        <w:rPr>
          <w:rFonts w:ascii="Times New Roman" w:hAnsi="Times New Roman"/>
          <w:b/>
          <w:sz w:val="22"/>
        </w:rPr>
        <w:t>References</w:t>
      </w:r>
      <w:r>
        <w:rPr>
          <w:rFonts w:ascii="Times New Roman" w:hAnsi="Times New Roman"/>
          <w:b/>
          <w:sz w:val="22"/>
        </w:rPr>
        <w:tab/>
      </w:r>
      <w:r>
        <w:rPr>
          <w:rFonts w:ascii="Times New Roman" w:hAnsi="Times New Roman"/>
          <w:b/>
          <w:sz w:val="22"/>
        </w:rPr>
        <w:t>19</w:t>
      </w:r>
    </w:p>
    <w:p>
      <w:pPr>
        <w:keepLines/>
        <w:tabs>
          <w:tab w:pos="9734" w:val="right" w:leader="dot"/>
        </w:tabs>
        <w:spacing w:line="240" w:lineRule="auto" w:before="0" w:after="40"/>
        <w:ind w:left="0" w:firstLine="0"/>
      </w:pPr>
      <w:r>
        <w:rPr>
          <w:rFonts w:ascii="Times New Roman" w:hAnsi="Times New Roman"/>
          <w:b/>
          <w:sz w:val="22"/>
        </w:rPr>
        <w:t>Appendices</w:t>
      </w:r>
      <w:r>
        <w:rPr>
          <w:rFonts w:ascii="Times New Roman" w:hAnsi="Times New Roman"/>
          <w:b/>
          <w:sz w:val="22"/>
        </w:rPr>
        <w:tab/>
      </w:r>
      <w:r>
        <w:rPr>
          <w:rFonts w:ascii="Times New Roman" w:hAnsi="Times New Roman"/>
          <w:b/>
          <w:sz w:val="22"/>
        </w:rPr>
        <w:t>21</w:t>
      </w:r>
    </w:p>
    <w:p>
      <w:pPr>
        <w:keepLines/>
        <w:tabs>
          <w:tab w:pos="9734" w:val="right" w:leader="dot"/>
        </w:tabs>
        <w:spacing w:line="240" w:lineRule="auto" w:before="0" w:after="0"/>
        <w:ind w:left="403" w:firstLine="0"/>
      </w:pPr>
      <w:r>
        <w:rPr>
          <w:rFonts w:ascii="Times New Roman" w:hAnsi="Times New Roman"/>
          <w:b w:val="0"/>
          <w:sz w:val="22"/>
        </w:rPr>
        <w:t>Appendix A - Sample Seven-Night Signature Journey</w:t>
      </w:r>
      <w:r>
        <w:rPr>
          <w:rFonts w:ascii="Times New Roman" w:hAnsi="Times New Roman"/>
          <w:b w:val="0"/>
          <w:sz w:val="22"/>
        </w:rPr>
        <w:tab/>
      </w:r>
      <w:r>
        <w:rPr>
          <w:rFonts w:ascii="Times New Roman" w:hAnsi="Times New Roman"/>
          <w:b w:val="0"/>
          <w:sz w:val="22"/>
        </w:rPr>
        <w:t>21</w:t>
      </w:r>
    </w:p>
    <w:p>
      <w:pPr>
        <w:keepLines/>
        <w:tabs>
          <w:tab w:pos="9734" w:val="right" w:leader="dot"/>
        </w:tabs>
        <w:spacing w:line="240" w:lineRule="auto" w:before="0" w:after="0"/>
        <w:ind w:left="403" w:firstLine="0"/>
      </w:pPr>
      <w:r>
        <w:rPr>
          <w:rFonts w:ascii="Times New Roman" w:hAnsi="Times New Roman"/>
          <w:b w:val="0"/>
          <w:sz w:val="22"/>
        </w:rPr>
        <w:t>Appendix B - Brand Governance Principles</w:t>
      </w:r>
      <w:r>
        <w:rPr>
          <w:rFonts w:ascii="Times New Roman" w:hAnsi="Times New Roman"/>
          <w:b w:val="0"/>
          <w:sz w:val="22"/>
        </w:rPr>
        <w:tab/>
      </w:r>
      <w:r>
        <w:rPr>
          <w:rFonts w:ascii="Times New Roman" w:hAnsi="Times New Roman"/>
          <w:b w:val="0"/>
          <w:sz w:val="22"/>
        </w:rPr>
        <w:t>21</w:t>
      </w:r>
    </w:p>
    <w:p>
      <w:pPr>
        <w:spacing w:before="0" w:after="0" w:line="240" w:lineRule="auto"/>
      </w:pPr>
      <w:r>
        <w:br w:type="page"/>
      </w:r>
    </w:p>
    <w:p>
      <w:pPr>
        <w:pStyle w:val="Heading1"/>
        <w:ind w:firstLine="0"/>
      </w:pPr>
      <w:r>
        <w:t>Executive Summary</w:t>
      </w:r>
    </w:p>
    <w:p>
      <w:pPr/>
      <w:r>
        <w:rPr>
          <w:rFonts w:ascii="Times New Roman" w:hAnsi="Times New Roman"/>
          <w:sz w:val="24"/>
        </w:rPr>
        <w:t>Rwanda has built one of Africa’s most recognisable tourism propositions around mountain gorillas, conservation and the “Visit Rwanda” identity. The next strategic challenge is diversification: preserving the scarcity and premium value of gorilla tourism while broadening the country’s image to include Kigali, MICE, cultural experiences, cycling, Akagera, Nyungwe and community-based travel. Rwanda Development Board (RDB, 2026a) reported tourism revenue of USD 685 million and 1.49 million visitor arrivals in 2025, while MICE generated USD 94.7 million. These figures indicate recovery and growth, yet RDB’s 2025-2030 strategy also notes the volatility of arrivals and the need to strengthen high-value demand (RDB, 2026b).</w:t>
      </w:r>
    </w:p>
    <w:p>
      <w:pPr/>
      <w:r>
        <w:rPr>
          <w:rFonts w:ascii="Times New Roman" w:hAnsi="Times New Roman"/>
          <w:sz w:val="24"/>
        </w:rPr>
        <w:t>This report recommends a positioning platform titled “Rwanda: Remarkably Close, Deeply Different.” The idea uses Rwanda’s compact geography as a strategic advantage: visitors can combine wildlife, rainforest, culture, city experiences and events within a relatively short itinerary. Three priority segments are proposed: conservation-led premium explorers, African urban-culture and event travellers, and purpose-driven small groups seeking learning and community connection. The strategy uses psychographic and behavioural segmentation alongside classic demographic criteria, because motivation, risk perception and willingness to pay are more useful than age alone.</w:t>
      </w:r>
    </w:p>
    <w:p>
      <w:pPr/>
      <w:r>
        <w:rPr>
          <w:rFonts w:ascii="Times New Roman" w:hAnsi="Times New Roman"/>
          <w:sz w:val="24"/>
        </w:rPr>
        <w:t>The report integrates PESTEL analysis, destination-image theory, STP, the extended 7Ps, a 12-month implementation plan, a USD 4.2 million illustrative budget and a balanced KPI framework. It recommends protecting gorilla tourism from over-commercialisation, using Kigali and MICE as gateways to leisure extension, developing stronger regional circuits, and measuring success through spend, length of stay, dispersal, repeat consideration and conservation/community indicators. The core strategic principle is that Rwanda should not dilute its strongest icon; it should use that icon as an entry point into a richer destination narrative.</w:t>
      </w:r>
    </w:p>
    <w:p>
      <w:pPr>
        <w:pStyle w:val="Heading1"/>
        <w:ind w:firstLine="0"/>
      </w:pPr>
      <w:r>
        <w:t>Introduction</w:t>
      </w:r>
    </w:p>
    <w:p>
      <w:pPr/>
      <w:r>
        <w:rPr>
          <w:rFonts w:ascii="Times New Roman" w:hAnsi="Times New Roman"/>
          <w:sz w:val="24"/>
        </w:rPr>
        <w:t>Destination image is central to tourism marketing because travellers frequently make choices with incomplete information. Grosspietsch (2006) showed that Rwanda historically faced a major gap between the image projected by international tour operators and the experience perceived by visitors. That study is now two decades old, but it remains strategically important because it illustrates how destination perception can lag behind reality. Rwanda’s modern tourism marketing has invested heavily in changing global awareness, including the “Visit Rwanda” platform and international sports partnerships.</w:t>
      </w:r>
    </w:p>
    <w:p>
      <w:pPr/>
      <w:r>
        <w:rPr>
          <w:rFonts w:ascii="Times New Roman" w:hAnsi="Times New Roman"/>
          <w:sz w:val="24"/>
        </w:rPr>
        <w:t>A strong destination brand must do more than create recognition. It must communicate a differentiated promise, direct visitors toward products that can deliver that promise, and create economic value without undermining conservation or community legitimacy. Rwanda’s mountain gorillas provide exceptional distinctiveness, but overdependence on one iconic experience creates concentration risk. Diversification can increase resilience and length of stay, provided new products are credible rather than added as generic promotional claims.</w:t>
      </w:r>
    </w:p>
    <w:p>
      <w:pPr/>
      <w:r>
        <w:rPr>
          <w:rFonts w:ascii="Times New Roman" w:hAnsi="Times New Roman"/>
          <w:sz w:val="24"/>
        </w:rPr>
        <w:t>The strategy is designed for the 2026-2029 period and integrates destination positioning, segmentation, the 7Ps, implementation priorities, budgeting, performance indicators and practical recommendations.</w:t>
      </w:r>
    </w:p>
    <w:p>
      <w:pPr>
        <w:pStyle w:val="Heading2"/>
        <w:ind w:firstLine="0"/>
      </w:pPr>
      <w:r>
        <w:t>Strategic Problem Definition</w:t>
      </w:r>
    </w:p>
    <w:p>
      <w:pPr/>
      <w:r>
        <w:rPr>
          <w:rFonts w:ascii="Times New Roman" w:hAnsi="Times New Roman"/>
          <w:sz w:val="24"/>
        </w:rPr>
        <w:t>Rwanda’s strategic marketing problem is not lack of identity. It already possesses a distinctive association with gorilla trekking, conservation, Kigali and the broader “Visit Rwanda” platform. The problem is image breadth. A visitor who sees Rwanda only as an expensive once-in-a-lifetime gorilla trip may book a short stay, combine the experience with another East African country, or decide the trip is not relevant. The marketing task is therefore to expand the mental category from “gorilla destination” to “compact premium African journey,” without weakening the gorilla proposition.</w:t>
      </w:r>
    </w:p>
    <w:p>
      <w:pPr/>
      <w:r>
        <w:rPr>
          <w:rFonts w:ascii="Times New Roman" w:hAnsi="Times New Roman"/>
          <w:sz w:val="24"/>
        </w:rPr>
        <w:t>This requires careful balance. Spenceley et al. (2010) demonstrate that gorilla tourism can generate benefits for communities around protected areas, but tourism value chains do not distribute benefits automatically. Product expansion should therefore connect new demand with local guides, cultural enterprises, food, craft and accommodation. Diversification is strongest when it increases both visitor value and local value capture.</w:t>
      </w:r>
    </w:p>
    <w:p>
      <w:pPr>
        <w:pStyle w:val="Heading1"/>
        <w:ind w:firstLine="0"/>
      </w:pPr>
      <w:r>
        <w:t>Market &amp; Consumer Behaviour Analysis</w:t>
      </w:r>
    </w:p>
    <w:p>
      <w:pPr>
        <w:pStyle w:val="Heading2"/>
        <w:ind w:firstLine="0"/>
      </w:pPr>
      <w:r>
        <w:t>PESTEL Environment</w:t>
      </w:r>
    </w:p>
    <w:p>
      <w:pPr/>
      <w:r>
        <w:rPr>
          <w:rFonts w:ascii="Times New Roman" w:hAnsi="Times New Roman"/>
          <w:sz w:val="24"/>
        </w:rPr>
        <w:t>Politically and institutionally, Rwanda has pursued tourism as part of national economic development and international positioning. Destination marketing is closely linked with investment, events and conservation. The state-led nature of the brand allows strategic coordination, but it also means communications may attract scrutiny beyond conventional tourism performance. Voets (2023), for example, analyses the “Visit Rwanda” sports sponsorship strategy as a nation-branding initiative and notes competing interpretations of its broader public-diplomacy role. From a marketing perspective, this means transparency and evidence are important: claims about conservation, community impact and visitor benefits should be measurable and specific.</w:t>
      </w:r>
    </w:p>
    <w:p>
      <w:pPr/>
      <w:r>
        <w:rPr>
          <w:rFonts w:ascii="Times New Roman" w:hAnsi="Times New Roman"/>
          <w:sz w:val="24"/>
        </w:rPr>
        <w:t>Economically, Rwanda’s high-value model is supported by premium gorilla permits, upper-upscale lodges, business events and conference activity. RDB (2026a) reported that tourism revenue grew to USD 685 million in 2025, alongside 1.49 million arrivals. The implication is that revenue quality matters as much as volume. The destination should therefore defend premium experiences while creating mid-premium products that encourage an extra two or three nights rather than discounting iconic products to drive volume.</w:t>
      </w:r>
    </w:p>
    <w:p>
      <w:pPr/>
      <w:r>
        <w:rPr>
          <w:rFonts w:ascii="Times New Roman" w:hAnsi="Times New Roman"/>
          <w:sz w:val="24"/>
        </w:rPr>
        <w:t>Socially, international travellers increasingly value meaningful encounters, biodiversity, local culture, wellbeing and learning. Rwanda can respond through guided community experiences, coffee and tea tourism, contemporary Kigali culture, food, art and historical interpretation. Domestic and regional tourism also matter. Mazimhaka (2007) argued for greater diversification through domestic tourism, highlighting the risks of an industry oriented too narrowly toward international demand. Today, regional African travellers can support events, city breaks and weekend products less dependent on long-haul cycles.</w:t>
      </w:r>
    </w:p>
    <w:p>
      <w:pPr/>
      <w:r>
        <w:rPr>
          <w:rFonts w:ascii="Times New Roman" w:hAnsi="Times New Roman"/>
          <w:sz w:val="24"/>
        </w:rPr>
        <w:t>Technologically, mobile discovery, creator media, online maps and digital booking allow Rwanda to present a richer story than traditional brochure-led marketing. Virtual previews of forest experiences, Kigali neighbourhood guides, cycling routes and event extensions can reduce uncertainty. However, premium travellers expect seamless booking. Fragmented supplier systems, slow confirmations or unclear transfers can undermine a high-value promise. Technology should therefore connect content to inventory, not merely produce social reach.</w:t>
      </w:r>
    </w:p>
    <w:p>
      <w:pPr/>
      <w:r>
        <w:rPr>
          <w:rFonts w:ascii="Times New Roman" w:hAnsi="Times New Roman"/>
          <w:sz w:val="24"/>
        </w:rPr>
        <w:t>Environmentally, Rwanda’s tourism value proposition depends directly on biodiversity, forests and protected areas. Gorilla tourism demonstrates the economic power of scarcity, but carrying capacity is non-negotiable because the resource is sensitive. Conservation-led tourism should therefore use price, permits, group limits and itinerary design to manage demand. New products can reduce pressure by distributing visitor attention toward Akagera, Nyungwe, Lake Kivu and carefully managed community experiences.</w:t>
      </w:r>
    </w:p>
    <w:p>
      <w:pPr/>
      <w:r>
        <w:rPr>
          <w:rFonts w:ascii="Times New Roman" w:hAnsi="Times New Roman"/>
          <w:sz w:val="24"/>
        </w:rPr>
        <w:t>Legally, international tourism marketing must operate within wildlife regulations, consumer protection, event contracts, data protection and advertising standards. Operators also need consistent standards around guides, vehicle safety, cancellation and insurance. Premium positioning magnifies the reputational cost of service inconsistency; therefore, partner accreditation and complaint-resolution processes are part of the brand system.</w:t>
      </w:r>
    </w:p>
    <w:p>
      <w:pPr>
        <w:spacing w:line="240" w:lineRule="auto" w:before="120" w:after="80"/>
        <w:ind w:firstLine="0"/>
        <w:jc w:val="center"/>
      </w:pPr>
      <w:r>
        <w:rPr>
          <w:rFonts w:ascii="Times New Roman" w:hAnsi="Times New Roman"/>
          <w:b/>
          <w:sz w:val="22"/>
        </w:rPr>
        <w:t>PESTEL assessment for Rwanda tourism</w:t>
      </w:r>
    </w:p>
    <w:tbl>
      <w:tblPr>
        <w:tblStyle w:val="TableGrid"/>
        <w:tblW w:type="auto" w:w="0"/>
        <w:jc w:val="center"/>
        <w:tblLayout w:type="autofit"/>
        <w:tblLook w:firstColumn="1" w:firstRow="1" w:lastColumn="0" w:lastRow="0" w:noHBand="0" w:noVBand="1" w:val="04A0"/>
      </w:tblPr>
      <w:tblGrid>
        <w:gridCol w:w="2448"/>
        <w:gridCol w:w="2448"/>
        <w:gridCol w:w="2448"/>
        <w:gridCol w:w="2448"/>
      </w:tblGrid>
      <w:tr>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Factor</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Strategic opportunity</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Strategic risk</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Recommended response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Political/institutional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Coordinated destination and investment promotion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Brand scrutiny and politicised interpretation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Use transparent performance and conservation evidence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Economic</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Premium wildlife and growing event economy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High price may narrow consideration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Build multi-night value, not price discounting</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Social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Demand for purpose, culture and learning</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Superficial cultural packaging</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Co-design experiences with local communities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Technology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Rich storytelling and direct booking</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Premium promise undermined by digital friction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Integrate content, inventory and service support</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Environmental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Globally distinctive biodiversity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Ecological pressure and climate risk</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Protect capacity and disperse demand</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Legal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Strong formal tourism ecosystem</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Inconsistent partner execution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Accreditation, clear terms and safety standards</w:t>
            </w:r>
          </w:p>
        </w:tc>
      </w:tr>
    </w:tbl>
    <w:p>
      <w:pPr>
        <w:spacing w:after="0"/>
      </w:pPr>
    </w:p>
    <w:p>
      <w:pPr>
        <w:pStyle w:val="Heading2"/>
        <w:ind w:firstLine="0"/>
      </w:pPr>
      <w:r>
        <w:t>Consumer Psychology and the Destination Image Gap</w:t>
      </w:r>
    </w:p>
    <w:p>
      <w:pPr/>
      <w:r>
        <w:rPr>
          <w:rFonts w:ascii="Times New Roman" w:hAnsi="Times New Roman"/>
          <w:sz w:val="24"/>
        </w:rPr>
        <w:t>Rwanda’s consumer decision process is strongly influenced by destination image because many long-haul travellers have limited prior knowledge. Echtner and Ritchie (1993) argue that destination image contains both attribute-based and holistic components. Applied to Rwanda, attributes include wildlife, accommodation, safety perceptions, accessibility and price, while holistic impressions include words such as “transformative,” “green,” “premium,” “modern” or “remote.” Effective marketing must manage both.</w:t>
      </w:r>
    </w:p>
    <w:p>
      <w:pPr/>
      <w:r>
        <w:rPr>
          <w:rFonts w:ascii="Times New Roman" w:hAnsi="Times New Roman"/>
          <w:sz w:val="24"/>
        </w:rPr>
        <w:t>Grosspietsch (2006) found that visitors and international tour operators once held materially different perceptions of Rwanda. That gap illustrates a continuing principle: intermediaries can either update or freeze destination image. The modern strategy should therefore work closely with luxury advisors, regional tour operators, airline partners and creators so that the broader product portfolio appears in itineraries. If trade partners continue selling a short gorilla add-on, consumer perception will remain narrow even when the destination has diversified.</w:t>
      </w:r>
    </w:p>
    <w:p>
      <w:pPr/>
      <w:r>
        <w:rPr>
          <w:rFonts w:ascii="Times New Roman" w:hAnsi="Times New Roman"/>
          <w:sz w:val="24"/>
        </w:rPr>
        <w:t>Perceived risk also matters. Long-haul travellers evaluate medical preparation, transport reliability, border processes, insurance, physical difficulty and value for money. Marketing that avoids practical information can generate inspiration without conversion. High-intent content should answer questions about trekking fitness, seasonality, travel time between parks, city experiences, extension options and responsible wildlife behaviour. Clear information reduces psychological cost and supports premium pricing.</w:t>
      </w:r>
    </w:p>
    <w:p>
      <w:pPr>
        <w:pStyle w:val="Heading2"/>
        <w:ind w:firstLine="0"/>
      </w:pPr>
      <w:r>
        <w:t>Macro Demand Trends</w:t>
      </w:r>
    </w:p>
    <w:p>
      <w:pPr/>
      <w:r>
        <w:rPr>
          <w:rFonts w:ascii="Times New Roman" w:hAnsi="Times New Roman"/>
          <w:sz w:val="24"/>
        </w:rPr>
        <w:t>International travel demand is increasingly experience-led. Affluent travellers often seek fewer but more meaningful trips, combining nature, culture and wellbeing. Rwanda’s small geographic scale can meet this preference because multiple landscapes can be combined without excessive internal flights. The country can therefore compete on “experience density”: the amount of variety and meaning available within a seven-to-ten-day trip.</w:t>
      </w:r>
    </w:p>
    <w:p>
      <w:pPr/>
      <w:r>
        <w:rPr>
          <w:rFonts w:ascii="Times New Roman" w:hAnsi="Times New Roman"/>
          <w:sz w:val="24"/>
        </w:rPr>
        <w:t>Events are another demand engine. RDB (2026a) reported 165 international and regional events in 2025 and USD 94.7 million in MICE revenue. The marketing opportunity is to convert business-event visitors into leisure extenders. Conference registration journeys should offer pre- and post-event modules such as Akagera safaris, coffee experiences, Nyungwe, cycling or Kigali culinary tours. This creates incremental visitor value using an audience already committed to the destination.</w:t>
      </w:r>
    </w:p>
    <w:p>
      <w:pPr/>
      <w:r>
        <w:rPr>
          <w:rFonts w:ascii="Times New Roman" w:hAnsi="Times New Roman"/>
          <w:sz w:val="24"/>
        </w:rPr>
        <w:t>Sports and entertainment can also widen familiarity. The strategic value of international partnerships is not merely logo exposure; it is their ability to create culturally relevant entry points into travel planning. The destination should measure whether such partnerships increase qualified search, itinerary exploration and actual travel consideration, rather than treating impressions as sufficient evidence of success.</w:t>
      </w:r>
    </w:p>
    <w:p>
      <w:pPr>
        <w:pStyle w:val="Heading1"/>
        <w:ind w:firstLine="0"/>
      </w:pPr>
      <w:r>
        <w:t>Segmentation, Targeting, and Positioning (STP)</w:t>
      </w:r>
    </w:p>
    <w:p>
      <w:pPr>
        <w:pStyle w:val="Heading2"/>
        <w:ind w:firstLine="0"/>
      </w:pPr>
      <w:r>
        <w:t>Moving Beyond Demographics</w:t>
      </w:r>
    </w:p>
    <w:p>
      <w:pPr/>
      <w:r>
        <w:rPr>
          <w:rFonts w:ascii="Times New Roman" w:hAnsi="Times New Roman"/>
          <w:sz w:val="24"/>
        </w:rPr>
        <w:t>Demographic segmentation remains useful for determining affordability, travel party needs and media reach. High-income couples, families and business travellers have different product requirements. However, the same demographic group can contain travellers with very different motivations. A 40-year-old professional might be a wildlife photographer, a conference attendee, a cyclist or a cultural learner. Psychographic segmentation therefore adds values such as conservation orientation, status motivation, curiosity and desire for transformation.</w:t>
      </w:r>
    </w:p>
    <w:p>
      <w:pPr/>
      <w:r>
        <w:rPr>
          <w:rFonts w:ascii="Times New Roman" w:hAnsi="Times New Roman"/>
          <w:sz w:val="24"/>
        </w:rPr>
        <w:t>Behavioural segmentation is particularly valuable because Rwanda’s most profitable prospects often reveal themselves through actions: searching for gorilla permits, consuming conservation content, booking premium safari lodges, attending African business events, following cycling content or saving long-haul itineraries. These behaviours can guide remarketing, partnership design and content sequencing more precisely than broad age labels.</w:t>
      </w:r>
    </w:p>
    <w:p>
      <w:pPr>
        <w:pStyle w:val="Heading2"/>
        <w:ind w:firstLine="0"/>
      </w:pPr>
      <w:r>
        <w:t>Priority Segment 1: Conservation-Led Premium Explorers</w:t>
      </w:r>
    </w:p>
    <w:p>
      <w:pPr/>
      <w:r>
        <w:rPr>
          <w:rFonts w:ascii="Times New Roman" w:hAnsi="Times New Roman"/>
          <w:sz w:val="24"/>
        </w:rPr>
        <w:t>This group is generally 35-65, internationally experienced, high income and willing to pay for scarcity, comfort and expert interpretation. The motivation is not simply to “see wildlife” but to feel that the trip contributes to conservation and produces a memorable encounter. The segment values small groups, knowledgeable guides, high-quality lodges and transparent conservation outcomes. Spenceley et al. (2010) support the importance of linking gorilla tourism with local economic benefits, making community and conservation evidence central to the proposition.</w:t>
      </w:r>
    </w:p>
    <w:p>
      <w:pPr/>
      <w:r>
        <w:rPr>
          <w:rFonts w:ascii="Times New Roman" w:hAnsi="Times New Roman"/>
          <w:sz w:val="24"/>
        </w:rPr>
        <w:t>The conversion message should be “rare encounters, responsibly protected.” Content should show not only gorillas but also conservation science, ranger expertise, reforestation, community enterprises and other parks. The ideal itinerary is seven to ten nights, with the gorilla experience as the emotional peak rather than the entire trip.</w:t>
      </w:r>
    </w:p>
    <w:p>
      <w:pPr>
        <w:pStyle w:val="Heading2"/>
        <w:ind w:firstLine="0"/>
      </w:pPr>
      <w:r>
        <w:t>Priority Segment 2: African Urban-Culture and Event Travellers</w:t>
      </w:r>
    </w:p>
    <w:p>
      <w:pPr/>
      <w:r>
        <w:rPr>
          <w:rFonts w:ascii="Times New Roman" w:hAnsi="Times New Roman"/>
          <w:sz w:val="24"/>
        </w:rPr>
        <w:t>This segment includes regional professionals, diaspora visitors, conference attendees and culturally curious city-break travellers. They value Kigali’s cleanliness, food, design, nightlife, arts, entrepreneurship and event calendar. The key strategic opportunity is frequency: these visitors may travel more often than once-in-a-lifetime safari customers and can support hotels, restaurants and entertainment throughout the year.</w:t>
      </w:r>
    </w:p>
    <w:p>
      <w:pPr/>
      <w:r>
        <w:rPr>
          <w:rFonts w:ascii="Times New Roman" w:hAnsi="Times New Roman"/>
          <w:sz w:val="24"/>
        </w:rPr>
        <w:t>The destination should package “48 hours after the conference,” weekend extensions and event-linked city content. Strong regional air access and mobile-first booking are essential. Messaging should be contemporary and social rather than framed only through wildlife imagery.</w:t>
      </w:r>
    </w:p>
    <w:p>
      <w:pPr>
        <w:pStyle w:val="Heading2"/>
        <w:ind w:firstLine="0"/>
      </w:pPr>
      <w:r>
        <w:t>Priority Segment 3: Purpose-Driven Small Groups</w:t>
      </w:r>
    </w:p>
    <w:p>
      <w:pPr/>
      <w:r>
        <w:rPr>
          <w:rFonts w:ascii="Times New Roman" w:hAnsi="Times New Roman"/>
          <w:sz w:val="24"/>
        </w:rPr>
        <w:t>The third segment includes university groups, conservation organisations, executive learning programmes, specialist clubs and multi-generational families seeking education and connection. They want guided access to themes such as biodiversity, reconciliation history, entrepreneurship, coffee, community development and environmental stewardship. This segment can travel in shoulder periods and supports specialist guides and locally owned enterprises.</w:t>
      </w:r>
    </w:p>
    <w:p>
      <w:pPr/>
      <w:r>
        <w:rPr>
          <w:rFonts w:ascii="Times New Roman" w:hAnsi="Times New Roman"/>
          <w:sz w:val="24"/>
        </w:rPr>
        <w:t>The risk is extractive “voluntourism” or superficial community visits. Experiences should therefore be designed around learning, fair payment and community consent. Marketing should describe what visitors will understand and support, not present communities as attractions.</w:t>
      </w:r>
    </w:p>
    <w:p>
      <w:pPr>
        <w:spacing w:line="240" w:lineRule="auto" w:before="120" w:after="80"/>
        <w:ind w:firstLine="0"/>
        <w:jc w:val="center"/>
      </w:pPr>
      <w:r>
        <w:rPr>
          <w:rFonts w:ascii="Times New Roman" w:hAnsi="Times New Roman"/>
          <w:b/>
          <w:sz w:val="22"/>
        </w:rPr>
        <w:t>Target audience profiles</w:t>
      </w:r>
    </w:p>
    <w:tbl>
      <w:tblPr>
        <w:tblStyle w:val="TableGrid"/>
        <w:tblW w:type="auto" w:w="0"/>
        <w:jc w:val="center"/>
        <w:tblLayout w:type="autofit"/>
        <w:tblLook w:firstColumn="1" w:firstRow="1" w:lastColumn="0" w:lastRow="0" w:noHBand="0" w:noVBand="1" w:val="04A0"/>
      </w:tblPr>
      <w:tblGrid>
        <w:gridCol w:w="1958"/>
        <w:gridCol w:w="1958"/>
        <w:gridCol w:w="1958"/>
        <w:gridCol w:w="1958"/>
        <w:gridCol w:w="1958"/>
      </w:tblGrid>
      <w:tr>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Segment</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Primary need</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High-value products</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Decision barrier</w:t>
            </w:r>
          </w:p>
        </w:tc>
        <w:tc>
          <w:tcPr>
            <w:tcW w:type="dxa" w:w="195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Priority channel</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Conservation-led premium explorer</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Scarcity, expertise, positive impact</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Gorilla trekking, Nyungwe, Akagera, premium lodges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Price and uncertainty about trip breadth</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Luxury advisors, specialist media, high-intent search</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African urban-culture/event traveller</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Convenience, relevance, social energy</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Kigali weekends, MICE extensions, food and arts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Perception that Rwanda equals wildlife only</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Regional digital, event CRM, airline partnerships</w:t>
            </w:r>
          </w:p>
        </w:tc>
      </w:tr>
      <w:tr>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Purpose-driven small group</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Learning and shared meaning</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Guided thematic circuits, community enterprise, conservation learning</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Fear of packaged or inauthentic experiences</w:t>
            </w:r>
          </w:p>
        </w:tc>
        <w:tc>
          <w:tcPr>
            <w:tcW w:type="dxa" w:w="1958"/>
            <w:tcMar>
              <w:top w:w="80" w:type="dxa"/>
              <w:start w:w="100" w:type="dxa"/>
              <w:bottom w:w="80" w:type="dxa"/>
              <w:end w:w="100" w:type="dxa"/>
            </w:tcMar>
            <w:vAlign w:val="center"/>
          </w:tcPr>
          <w:p>
            <w:pPr>
              <w:spacing w:line="240" w:lineRule="auto" w:after="0"/>
              <w:ind w:firstLine="0"/>
            </w:pPr>
            <w:r>
              <w:rPr>
                <w:rFonts w:ascii="Times New Roman" w:hAnsi="Times New Roman"/>
                <w:sz w:val="21"/>
              </w:rPr>
              <w:t>Institutions, group operators, professional networks</w:t>
            </w:r>
          </w:p>
        </w:tc>
      </w:tr>
    </w:tbl>
    <w:p>
      <w:pPr>
        <w:spacing w:after="0"/>
      </w:pPr>
    </w:p>
    <w:p>
      <w:pPr>
        <w:pStyle w:val="Heading2"/>
        <w:ind w:firstLine="0"/>
      </w:pPr>
      <w:r>
        <w:t>Strategic Positioning</w:t>
      </w:r>
    </w:p>
    <w:p>
      <w:pPr/>
      <w:r>
        <w:rPr>
          <w:rFonts w:ascii="Times New Roman" w:hAnsi="Times New Roman"/>
          <w:sz w:val="24"/>
        </w:rPr>
        <w:t>The proposed positioning statement is: for travellers who want a meaningful African journey without sacrificing time, comfort or depth, Rwanda offers an unusually compact combination of rare wildlife, contemporary city life, rainforest, savannah and human stories, delivered through high-quality guided experiences. The brand line “Remarkably Close, Deeply Different” communicates both geography and emotional variety.</w:t>
      </w:r>
    </w:p>
    <w:p>
      <w:pPr/>
      <w:r>
        <w:rPr>
          <w:rFonts w:ascii="Times New Roman" w:hAnsi="Times New Roman"/>
          <w:sz w:val="24"/>
        </w:rPr>
        <w:t>This position differentiates Rwanda from large safari circuits that require long internal transfers and from city-only destinations that lack iconic nature. It also avoids positioning the country as a cheaper alternative to neighbouring destinations. Premium value should come from access, quality, interpretation and experience density.</w:t>
      </w:r>
    </w:p>
    <w:p>
      <w:pPr>
        <w:spacing w:line="240" w:lineRule="auto" w:before="120" w:after="80"/>
        <w:ind w:firstLine="0"/>
        <w:jc w:val="center"/>
      </w:pPr>
      <w:r>
        <w:rPr>
          <w:rFonts w:ascii="Times New Roman" w:hAnsi="Times New Roman"/>
          <w:b/>
          <w:sz w:val="22"/>
        </w:rPr>
        <w:t>Strategic positioning map</w:t>
      </w:r>
    </w:p>
    <w:tbl>
      <w:tblPr>
        <w:tblStyle w:val="TableGrid"/>
        <w:tblW w:type="auto" w:w="0"/>
        <w:jc w:val="center"/>
        <w:tblLayout w:type="autofit"/>
        <w:tblLook w:firstColumn="1" w:firstRow="1" w:lastColumn="0" w:lastRow="0" w:noHBand="0" w:noVBand="1" w:val="04A0"/>
      </w:tblPr>
      <w:tblGrid>
        <w:gridCol w:w="2448"/>
        <w:gridCol w:w="2448"/>
        <w:gridCol w:w="2448"/>
        <w:gridCol w:w="2448"/>
      </w:tblGrid>
      <w:tr>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Dimension</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Low position</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Rwanda target</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High position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Experience density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Single-purpose trip</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Multiple premium experiences in 7-10 days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Extensive multi-country circuit</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Guided interpretation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Self-service sightseeing</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Expert-led, conservation-rich storytelling</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Expedition/scientific travel</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Price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Budget mass tourism</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Premium, value-through-depth</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Ultra-luxury exclusivity only</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Brand breadth</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One iconic wildlife image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Wildlife + city + culture + events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Diffuse, non-distinctive everything-to-everyone offer</w:t>
            </w:r>
          </w:p>
        </w:tc>
      </w:tr>
    </w:tbl>
    <w:p>
      <w:pPr>
        <w:spacing w:after="0"/>
      </w:pPr>
    </w:p>
    <w:p>
      <w:pPr>
        <w:pStyle w:val="Heading2"/>
        <w:ind w:firstLine="0"/>
      </w:pPr>
      <w:r>
        <w:t>Rebranding Success, Risk and the Overtourism Lesson</w:t>
      </w:r>
    </w:p>
    <w:p>
      <w:pPr/>
      <w:r>
        <w:rPr>
          <w:rFonts w:ascii="Times New Roman" w:hAnsi="Times New Roman"/>
          <w:sz w:val="24"/>
        </w:rPr>
        <w:t>Rwanda’s own brand development demonstrates that image can change through sustained communication and product investment. SNV Rwanda and RSM Erasmus University (2008) identified wildlife, nature, hospitality, culture, heritage and contemporary safety perceptions as important elements of stakeholder identity. The strategic lesson is that rebranding is more credible when it extends from attributes already recognised by stakeholders rather than inventing an unrelated personality.</w:t>
      </w:r>
    </w:p>
    <w:p>
      <w:pPr/>
      <w:r>
        <w:rPr>
          <w:rFonts w:ascii="Times New Roman" w:hAnsi="Times New Roman"/>
          <w:sz w:val="24"/>
        </w:rPr>
        <w:t>There is also a warning in successful destination promotion: scarcity creates both value and pressure. Gorilla tourism cannot be treated as a volume product. A demand spike should be managed through capacity and yield, not simply promoted more heavily. Diversification is therefore partly a conservation strategy. By giving visitors compelling reasons to stay longer and explore elsewhere, Rwanda can grow tourism value without requiring equivalent growth in visitors to fragile wildlife encounters.</w:t>
      </w:r>
    </w:p>
    <w:p>
      <w:pPr>
        <w:pStyle w:val="Heading1"/>
        <w:ind w:firstLine="0"/>
      </w:pPr>
      <w:r>
        <w:t>Extended Tourism Marketing Mix (7 Ps)</w:t>
      </w:r>
    </w:p>
    <w:p>
      <w:pPr>
        <w:pStyle w:val="Heading2"/>
        <w:ind w:firstLine="0"/>
      </w:pPr>
      <w:r>
        <w:t>Product</w:t>
      </w:r>
    </w:p>
    <w:p>
      <w:pPr/>
      <w:r>
        <w:rPr>
          <w:rFonts w:ascii="Times New Roman" w:hAnsi="Times New Roman"/>
          <w:sz w:val="24"/>
        </w:rPr>
        <w:t>The proposed product architecture consists of “signature combinations” rather than isolated attractions. Examples include Gorilla + Kigali Design, Forest + Tea + Wellness, Savannah + City Weekend, and Conference + Conservation. Each combination should be available in three comfort levels while maintaining guide and experience standards. The goal is to make a seven-night Rwanda itinerary feel easy to understand and purchase.</w:t>
      </w:r>
    </w:p>
    <w:p>
      <w:pPr/>
      <w:r>
        <w:rPr>
          <w:rFonts w:ascii="Times New Roman" w:hAnsi="Times New Roman"/>
          <w:sz w:val="24"/>
        </w:rPr>
        <w:t>Product development should strengthen cultural and community experiences with professional interpretation. Mazimhaka (2007) emphasised the importance of diversifying beyond an international wildlife focus. That diversification should include domestic and regional audiences, contemporary culture and food, not only rural heritage displays.</w:t>
      </w:r>
    </w:p>
    <w:p>
      <w:pPr>
        <w:pStyle w:val="Heading2"/>
        <w:ind w:firstLine="0"/>
      </w:pPr>
      <w:r>
        <w:t>Price</w:t>
      </w:r>
    </w:p>
    <w:p>
      <w:pPr/>
      <w:r>
        <w:rPr>
          <w:rFonts w:ascii="Times New Roman" w:hAnsi="Times New Roman"/>
          <w:sz w:val="24"/>
        </w:rPr>
        <w:t>Rwanda should retain premium pricing for scarce wildlife access while increasing perceived value across the whole itinerary. Price framing should explain what is included: permits, expert guides, transfers, conservation contribution and small-group access. Bundled extensions can use package value rather than discounting permits. Regional city products can sit at a different price tier to broaden participation without weakening the premium wildlife brand.</w:t>
      </w:r>
    </w:p>
    <w:p>
      <w:pPr>
        <w:pStyle w:val="Heading2"/>
        <w:ind w:firstLine="0"/>
      </w:pPr>
      <w:r>
        <w:t>Place</w:t>
      </w:r>
    </w:p>
    <w:p>
      <w:pPr/>
      <w:r>
        <w:rPr>
          <w:rFonts w:ascii="Times New Roman" w:hAnsi="Times New Roman"/>
          <w:sz w:val="24"/>
        </w:rPr>
        <w:t>Distribution should combine direct destination planning, luxury travel advisors, African regional OTAs, global tour operators, airline stopover partnerships and MICE organisers. Trade education should make it easier to sell Rwanda as a complete trip rather than an add-on. The destination should provide modular itineraries and live product contacts that advisors can customise.</w:t>
      </w:r>
    </w:p>
    <w:p>
      <w:pPr>
        <w:pStyle w:val="Heading2"/>
        <w:ind w:firstLine="0"/>
      </w:pPr>
      <w:r>
        <w:t>Promotion</w:t>
      </w:r>
    </w:p>
    <w:p>
      <w:pPr/>
      <w:r>
        <w:rPr>
          <w:rFonts w:ascii="Times New Roman" w:hAnsi="Times New Roman"/>
          <w:sz w:val="24"/>
        </w:rPr>
        <w:t>Promotion should be sequenced by market maturity. In markets already familiar with gorillas, creative should lead with unexpected Rwanda: cycling, Kigali food, canopy walks, savannah and design. In lower-awareness markets, gorillas can remain the attention anchor before retargeting with broader itinerary content. Sports partnerships should include measurable pathways from sponsorship exposure to destination engagement.</w:t>
      </w:r>
    </w:p>
    <w:p>
      <w:pPr>
        <w:pStyle w:val="Heading2"/>
        <w:ind w:firstLine="0"/>
      </w:pPr>
      <w:r>
        <w:t>People</w:t>
      </w:r>
    </w:p>
    <w:p>
      <w:pPr/>
      <w:r>
        <w:rPr>
          <w:rFonts w:ascii="Times New Roman" w:hAnsi="Times New Roman"/>
          <w:sz w:val="24"/>
        </w:rPr>
        <w:t>Guides are central brand actors. Training should combine natural history, service excellence, storytelling, cultural sensitivity and recovery skills. Hotel and event staff should be able to cross-sell destination experiences. Community partners should participate in experience design and pricing so that “authenticity” is not extracted without fair value.</w:t>
      </w:r>
    </w:p>
    <w:p>
      <w:pPr>
        <w:pStyle w:val="Heading2"/>
        <w:ind w:firstLine="0"/>
      </w:pPr>
      <w:r>
        <w:t>Process</w:t>
      </w:r>
    </w:p>
    <w:p>
      <w:pPr/>
      <w:r>
        <w:rPr>
          <w:rFonts w:ascii="Times New Roman" w:hAnsi="Times New Roman"/>
          <w:sz w:val="24"/>
        </w:rPr>
        <w:t>Premium travellers expect certainty. The journey should provide clear permit information, transfer times, packing advice, accessible support and fast confirmations. MICE extension booking should be integrated into event registration or post-registration communication. A destination service protocol should define response times and escalation procedures across accredited partners.</w:t>
      </w:r>
    </w:p>
    <w:p>
      <w:pPr>
        <w:pStyle w:val="Heading2"/>
        <w:ind w:firstLine="0"/>
      </w:pPr>
      <w:r>
        <w:t>Physical Evidence</w:t>
      </w:r>
    </w:p>
    <w:p>
      <w:pPr/>
      <w:r>
        <w:rPr>
          <w:rFonts w:ascii="Times New Roman" w:hAnsi="Times New Roman"/>
          <w:sz w:val="24"/>
        </w:rPr>
        <w:t>Physical evidence includes airport arrival, vehicle quality, trail briefings, guide appearance, visitor centres, event signage, digital interfaces and conservation interpretation. These signals turn an intangible service promise into visible proof. High-quality design should be consistent but not sterile; local material, art and language can reinforce place identity.</w:t>
      </w:r>
    </w:p>
    <w:p>
      <w:pPr>
        <w:spacing w:line="240" w:lineRule="auto" w:before="120" w:after="80"/>
        <w:ind w:firstLine="0"/>
        <w:jc w:val="center"/>
      </w:pPr>
      <w:r>
        <w:rPr>
          <w:rFonts w:ascii="Times New Roman" w:hAnsi="Times New Roman"/>
          <w:b/>
          <w:sz w:val="22"/>
        </w:rPr>
        <w:t>Rwanda 7Ps integration matrix</w:t>
      </w:r>
    </w:p>
    <w:tbl>
      <w:tblPr>
        <w:tblStyle w:val="TableGrid"/>
        <w:tblW w:type="auto" w:w="0"/>
        <w:jc w:val="center"/>
        <w:tblLayout w:type="autofit"/>
        <w:tblLook w:firstColumn="1" w:firstRow="1" w:lastColumn="0" w:lastRow="0" w:noHBand="0" w:noVBand="1" w:val="04A0"/>
      </w:tblPr>
      <w:tblGrid>
        <w:gridCol w:w="2448"/>
        <w:gridCol w:w="2448"/>
        <w:gridCol w:w="2448"/>
        <w:gridCol w:w="2448"/>
      </w:tblGrid>
      <w:tr>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Strategic choice</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Illustrative execution</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Primary KPI</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Product</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Build signature combinations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Gorilla + Kigali; Forest + Tea + Wellness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Average nights; multi-product bookings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Price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Protect premium scarcity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Bundle value without discounting iconic permits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Yield per visitor</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Place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Make full itineraries easy to sell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Advisor toolkit and MICE extension modules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Partner conversion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Promotion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Use gorillas as gateway, not whole story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Sequential creative and retargeting</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Search breadth; assisted bookings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People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Turn guides into brand storytellers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National interpretation/service academy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Guide ratings; review sentiment</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Process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Deliver premium certainty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Response-time and confirmation standards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Booking completion; support time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Physical Evidence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Show quality and conservation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Integrated wayfinding and visitor interpretation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Experience satisfaction</w:t>
            </w:r>
          </w:p>
        </w:tc>
      </w:tr>
    </w:tbl>
    <w:p>
      <w:pPr>
        <w:spacing w:after="0"/>
      </w:pPr>
    </w:p>
    <w:p>
      <w:pPr>
        <w:pStyle w:val="Heading1"/>
        <w:ind w:firstLine="0"/>
      </w:pPr>
      <w:r>
        <w:t>Implementation, Budgeting &amp; KPIs</w:t>
      </w:r>
    </w:p>
    <w:p>
      <w:pPr>
        <w:pStyle w:val="Heading2"/>
        <w:ind w:firstLine="0"/>
      </w:pPr>
      <w:r>
        <w:t>Twelve-Month Implementation Roadmap</w:t>
      </w:r>
    </w:p>
    <w:p>
      <w:pPr/>
      <w:r>
        <w:rPr>
          <w:rFonts w:ascii="Times New Roman" w:hAnsi="Times New Roman"/>
          <w:sz w:val="24"/>
        </w:rPr>
        <w:t>Quarter 1 should establish a refreshed perception baseline in priority markets, audit current itineraries, identify capacity constraints and build modular product combinations. Trade partners should be interviewed to understand why itineraries remain short or narrowly focused. The destination should then develop a new visual system and content library around the “Remarkably Close, Deeply Different” idea.</w:t>
      </w:r>
    </w:p>
    <w:p>
      <w:pPr/>
      <w:r>
        <w:rPr>
          <w:rFonts w:ascii="Times New Roman" w:hAnsi="Times New Roman"/>
          <w:sz w:val="24"/>
        </w:rPr>
        <w:t>Quarter 2 should launch a pilot in selected long-haul and regional markets. Long-haul creative would use gorillas as the attention anchor followed by multi-experience storytelling. Regional creative would lead with Kigali, events, food and weekend accessibility. A MICE extension engine should be tested with major conference organisers.</w:t>
      </w:r>
    </w:p>
    <w:p>
      <w:pPr/>
      <w:r>
        <w:rPr>
          <w:rFonts w:ascii="Times New Roman" w:hAnsi="Times New Roman"/>
          <w:sz w:val="24"/>
        </w:rPr>
        <w:t>Quarter 3 should scale proven media and activate partnership campaigns with airlines, travel advisors and event platforms. Content should include itinerary calculators showing how many experiences fit within five, seven or ten days. Creator partnerships should be small in number but deep in output, with experts in wildlife, food, cycling, design and responsible travel.</w:t>
      </w:r>
    </w:p>
    <w:p>
      <w:pPr/>
      <w:r>
        <w:rPr>
          <w:rFonts w:ascii="Times New Roman" w:hAnsi="Times New Roman"/>
          <w:sz w:val="24"/>
        </w:rPr>
        <w:t>Quarter 4 should focus on evaluation and shoulder-season demand. Brand-lift research, booking data and visitor feedback should determine which images successfully broadened perception beyond gorillas. Capacity-sensitive products should have media throttled if demand approaches operational limits.</w:t>
      </w:r>
    </w:p>
    <w:p>
      <w:pPr>
        <w:spacing w:line="240" w:lineRule="auto" w:before="120" w:after="80"/>
        <w:ind w:firstLine="0"/>
        <w:jc w:val="center"/>
      </w:pPr>
      <w:r>
        <w:rPr>
          <w:rFonts w:ascii="Times New Roman" w:hAnsi="Times New Roman"/>
          <w:b/>
          <w:sz w:val="22"/>
        </w:rPr>
        <w:t>Illustrative first-year budget</w:t>
      </w:r>
    </w:p>
    <w:tbl>
      <w:tblPr>
        <w:tblStyle w:val="TableGrid"/>
        <w:tblW w:type="auto" w:w="0"/>
        <w:jc w:val="center"/>
        <w:tblLayout w:type="autofit"/>
        <w:tblLook w:firstColumn="1" w:firstRow="1" w:lastColumn="0" w:lastRow="0" w:noHBand="0" w:noVBand="1" w:val="04A0"/>
      </w:tblPr>
      <w:tblGrid>
        <w:gridCol w:w="2448"/>
        <w:gridCol w:w="2448"/>
        <w:gridCol w:w="2448"/>
        <w:gridCol w:w="2448"/>
      </w:tblGrid>
      <w:tr>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Investment area</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USD</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Share</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Purpose</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Research, brand tracking and analytics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420,000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Perception baseline, incrementality and KPI systems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Creative development and content</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760,000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18.1%</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Global platform, regional adaptations, itinerary assets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Paid media</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1,350,000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32.1%</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Search, social, video and programmatic acquisition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Travel trade and airline partnerships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600,000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14.3%</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Advisor, airline and tour-operator conversion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MICE leisure-extension programme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350,000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8.3%</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Conference CRM, packages and organiser partnerships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Creator and PR partnerships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330,000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7.9%</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Specialist storytelling and earned media</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Partner training and service standards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250,000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6.0%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Guides, suppliers and digital readiness</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Contingency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140,000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3.3%</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Testing and rapid reallocation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Total</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4,200,000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Year 1 marketing programme</w:t>
            </w:r>
          </w:p>
        </w:tc>
      </w:tr>
    </w:tbl>
    <w:p>
      <w:pPr>
        <w:spacing w:after="0"/>
      </w:pPr>
    </w:p>
    <w:p>
      <w:pPr>
        <w:pStyle w:val="Heading2"/>
        <w:ind w:firstLine="0"/>
      </w:pPr>
      <w:r>
        <w:t>Risk Management and Strategic Controls</w:t>
      </w:r>
    </w:p>
    <w:p>
      <w:pPr/>
      <w:r>
        <w:rPr>
          <w:rFonts w:ascii="Times New Roman" w:hAnsi="Times New Roman"/>
          <w:sz w:val="24"/>
        </w:rPr>
        <w:t>A premium tourism strategy requires explicit controls because the same actions that improve demand can also create operational and reputational exposure. The first risk is overconcentration: successful gorilla-led creative may continue sending disproportionate attention to a capacity-constrained product. Media dashboards should therefore separate awareness performance from available inventory and automatically shift retargeting toward alternative experiences when sensitive products approach practical limits. This protects the conservation promise and prevents frustration caused by promoting products that travellers cannot book.</w:t>
      </w:r>
    </w:p>
    <w:p>
      <w:pPr/>
      <w:r>
        <w:rPr>
          <w:rFonts w:ascii="Times New Roman" w:hAnsi="Times New Roman"/>
          <w:sz w:val="24"/>
        </w:rPr>
        <w:t>The second risk is service inconsistency. A destination can communicate premium quality nationally while individual transfers, guides or accommodation providers deliver uneven standards. Accreditation should therefore be connected to campaign participation. Partners receiving national marketing referrals should meet minimum response times, transparent pricing, safety, complaint-handling and sustainability requirements. Mystery shopping and post-trip surveys can identify recurring service gaps before they become a wider online reputation problem.</w:t>
      </w:r>
    </w:p>
    <w:p>
      <w:pPr/>
      <w:r>
        <w:rPr>
          <w:rFonts w:ascii="Times New Roman" w:hAnsi="Times New Roman"/>
          <w:sz w:val="24"/>
        </w:rPr>
        <w:t>The third risk is image imbalance. Expanding the brand too quickly could make Rwanda appear generic if every possible experience is promoted equally. The solution is a clear hierarchy: gorilla conservation remains the icon, compact multi-experience travel is the organising idea, and city, culture, events and other parks provide supporting proof. This keeps the destination distinctive while broadening relevance.</w:t>
      </w:r>
    </w:p>
    <w:p>
      <w:pPr/>
      <w:r>
        <w:rPr>
          <w:rFonts w:ascii="Times New Roman" w:hAnsi="Times New Roman"/>
          <w:sz w:val="24"/>
        </w:rPr>
        <w:t>Finally, the campaign should maintain a quarterly stakeholder review involving conservation authorities, tourism businesses, community partners and event organisers. The review should examine commercial performance together with capacity, visitor sentiment, local value capture and emerging concerns. Marketing investment can then be adjusted as a management instrument rather than treated as a fixed annual media plan.</w:t>
      </w:r>
    </w:p>
    <w:p>
      <w:pPr>
        <w:pStyle w:val="Heading2"/>
        <w:ind w:firstLine="0"/>
      </w:pPr>
      <w:r>
        <w:t>KPI Architecture</w:t>
      </w:r>
    </w:p>
    <w:p>
      <w:pPr/>
      <w:r>
        <w:rPr>
          <w:rFonts w:ascii="Times New Roman" w:hAnsi="Times New Roman"/>
          <w:sz w:val="24"/>
        </w:rPr>
        <w:t>Awareness KPIs should measure qualified rather than raw exposure: destination search, video completion among target audiences, brand association with multiple experiences and unaided consideration. A key brand-health metric should ask respondents to name what Rwanda offers beyond gorilla trekking. Improvement in this measure would indicate successful image broadening.</w:t>
      </w:r>
    </w:p>
    <w:p>
      <w:pPr/>
      <w:r>
        <w:rPr>
          <w:rFonts w:ascii="Times New Roman" w:hAnsi="Times New Roman"/>
          <w:sz w:val="24"/>
        </w:rPr>
        <w:t>Conversion KPIs should include itinerary enquiries, permit-plus-extension bookings, MICE extension uptake, cost per qualified lead, travel-advisor sales and average booking value. Visitor-economy KPIs should track length of stay, spend per trip, number of regions visited and the share of arrivals outside peak periods.</w:t>
      </w:r>
    </w:p>
    <w:p>
      <w:pPr/>
      <w:r>
        <w:rPr>
          <w:rFonts w:ascii="Times New Roman" w:hAnsi="Times New Roman"/>
          <w:sz w:val="24"/>
        </w:rPr>
        <w:t>Conservation and community metrics should sit beside commercial indicators. Examples include visitor numbers relative to ecological limits, local procurement, community-enterprise participation, guide employment and visitor understanding of conservation rules. This reflects Buhalis’s (2000) argument that destination competitiveness requires balancing stakeholder interests rather than maximising one dimension of demand.</w:t>
      </w:r>
    </w:p>
    <w:p>
      <w:pPr>
        <w:spacing w:line="240" w:lineRule="auto" w:before="120" w:after="80"/>
        <w:ind w:firstLine="0"/>
        <w:jc w:val="center"/>
      </w:pPr>
      <w:r>
        <w:rPr>
          <w:rFonts w:ascii="Times New Roman" w:hAnsi="Times New Roman"/>
          <w:b/>
          <w:sz w:val="22"/>
        </w:rPr>
        <w:t>Balanced destination scorecard</w:t>
      </w:r>
    </w:p>
    <w:tbl>
      <w:tblPr>
        <w:tblStyle w:val="TableGrid"/>
        <w:tblW w:type="auto" w:w="0"/>
        <w:jc w:val="center"/>
        <w:tblLayout w:type="autofit"/>
        <w:tblLook w:firstColumn="1" w:firstRow="1" w:lastColumn="0" w:lastRow="0" w:noHBand="0" w:noVBand="1" w:val="04A0"/>
      </w:tblPr>
      <w:tblGrid>
        <w:gridCol w:w="2448"/>
        <w:gridCol w:w="2448"/>
        <w:gridCol w:w="2448"/>
        <w:gridCol w:w="2448"/>
      </w:tblGrid>
      <w:tr>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Goal</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KPI</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Year 1 target direction</w:t>
            </w:r>
          </w:p>
        </w:tc>
        <w:tc>
          <w:tcPr>
            <w:tcW w:type="dxa" w:w="2448"/>
            <w:shd w:fill="D9E6F2"/>
            <w:tcMar>
              <w:top w:w="80" w:type="dxa"/>
              <w:start w:w="100" w:type="dxa"/>
              <w:bottom w:w="80" w:type="dxa"/>
              <w:end w:w="100" w:type="dxa"/>
            </w:tcMar>
            <w:vAlign w:val="center"/>
          </w:tcPr>
          <w:p>
            <w:pPr>
              <w:spacing w:line="240" w:lineRule="auto" w:after="0"/>
              <w:ind w:firstLine="0"/>
              <w:jc w:val="center"/>
            </w:pPr>
            <w:r>
              <w:rPr>
                <w:rFonts w:ascii="Times New Roman" w:hAnsi="Times New Roman"/>
                <w:b/>
                <w:sz w:val="21"/>
              </w:rPr>
              <w:t>Strategic interpretation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Broaden image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Share associating Rwanda with 3+ experience types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Increase by 10 percentage points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Brand is moving beyond single-icon perception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Extend stays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Average leisure length of stay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+0.5 night in campaign-attributed bookings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Diversification is converting</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Grow value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Average visitor spend</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Positive real growth</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Premium proposition is holding</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Convert events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MICE attendees purchasing leisure extension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Pilot 8-12% conversion</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Events become tourism gateway</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Disperse demand</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Share of itineraries including 2+ regions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+15%</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Economic benefit spreads geographically</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Protect assets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Capacity compliance in sensitive experiences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100%</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Growth does not override conservation</w:t>
            </w:r>
          </w:p>
        </w:tc>
      </w:tr>
      <w:tr>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Improve advocacy</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Positive review sentiment across service themes</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Maintain/improve</w:t>
            </w:r>
          </w:p>
        </w:tc>
        <w:tc>
          <w:tcPr>
            <w:tcW w:type="dxa" w:w="2448"/>
            <w:tcMar>
              <w:top w:w="80" w:type="dxa"/>
              <w:start w:w="100" w:type="dxa"/>
              <w:bottom w:w="80" w:type="dxa"/>
              <w:end w:w="100" w:type="dxa"/>
            </w:tcMar>
            <w:vAlign w:val="center"/>
          </w:tcPr>
          <w:p>
            <w:pPr>
              <w:spacing w:line="240" w:lineRule="auto" w:after="0"/>
              <w:ind w:firstLine="0"/>
            </w:pPr>
            <w:r>
              <w:rPr>
                <w:rFonts w:ascii="Times New Roman" w:hAnsi="Times New Roman"/>
                <w:sz w:val="21"/>
              </w:rPr>
              <w:t>Premium promise is delivered</w:t>
            </w:r>
          </w:p>
        </w:tc>
      </w:tr>
    </w:tbl>
    <w:p>
      <w:pPr>
        <w:spacing w:after="0"/>
      </w:pPr>
    </w:p>
    <w:p>
      <w:pPr>
        <w:pStyle w:val="Heading1"/>
        <w:ind w:firstLine="0"/>
      </w:pPr>
      <w:r>
        <w:t>Conclusion &amp; Recommendations</w:t>
      </w:r>
    </w:p>
    <w:p>
      <w:pPr/>
      <w:r>
        <w:rPr>
          <w:rFonts w:ascii="Times New Roman" w:hAnsi="Times New Roman"/>
          <w:sz w:val="24"/>
        </w:rPr>
        <w:t>Rwanda does not need to abandon its gorilla-led identity; it needs to build around it. The strongest strategy is a brand architecture in which gorilla trekking remains the iconic proof of rarity while Kigali, Nyungwe, Akagera, Lake Kivu, culture, cycling and events create depth. “Remarkably Close, Deeply Different” expresses the country’s unusual ability to combine contrasting experiences within a compact geography.</w:t>
      </w:r>
    </w:p>
    <w:p>
      <w:pPr/>
      <w:r>
        <w:rPr>
          <w:rFonts w:ascii="Times New Roman" w:hAnsi="Times New Roman"/>
          <w:sz w:val="24"/>
        </w:rPr>
        <w:t>Five recommendations follow. First, measure and manage destination-image breadth, not only awareness. Second, protect premium wildlife experiences through capacity and yield rather than discount-driven volume. Third, use MICE and regional events as systematic feeders into leisure extension. Fourth, professionalise community and cultural experiences through co-design, fair pricing and strong interpretation. Fifth, integrate commercial KPIs with conservation and local-benefit measures so that destination growth remains credible.</w:t>
      </w:r>
    </w:p>
    <w:p>
      <w:pPr/>
      <w:r>
        <w:rPr>
          <w:rFonts w:ascii="Times New Roman" w:hAnsi="Times New Roman"/>
          <w:sz w:val="24"/>
        </w:rPr>
        <w:t>Rwanda’s long-term competitive advantage will depend on whether visitors leave with a richer story than the one that brought them. If the campaign succeeds, the gorilla will remain a powerful reason to consider Rwanda, but the full journey will become the reason to stay longer, spend more widely and advocate for the destination afterwards.</w:t>
      </w:r>
    </w:p>
    <w:p>
      <w:pPr/>
      <w:r>
        <w:rPr>
          <w:rFonts w:ascii="Times New Roman" w:hAnsi="Times New Roman"/>
          <w:sz w:val="24"/>
        </w:rPr>
        <w:t>This approach also gives the destination a practical learning cycle: market response can guide future product investment, while capacity and community evidence can limit promotion where additional demand would create unacceptable pressure.</w:t>
      </w:r>
    </w:p>
    <w:p>
      <w:pPr>
        <w:pStyle w:val="Heading1"/>
        <w:ind w:firstLine="0"/>
      </w:pPr>
      <w:r>
        <w:t>References</w:t>
      </w:r>
    </w:p>
    <w:p>
      <w:pPr>
        <w:pStyle w:val="Reference"/>
        <w:ind w:hanging="720"/>
      </w:pPr>
      <w:r>
        <w:rPr>
          <w:rFonts w:ascii="Times New Roman" w:hAnsi="Times New Roman"/>
          <w:sz w:val="24"/>
        </w:rPr>
        <w:t>Buhalis, D. (2000). Marketing the competitive destination of the future. Tourism Management, 21(1), 97-116. https://doi.org/10.1016/S0261-5177(99)00095-3</w:t>
      </w:r>
    </w:p>
    <w:p>
      <w:pPr>
        <w:pStyle w:val="Reference"/>
        <w:ind w:hanging="720"/>
      </w:pPr>
      <w:r>
        <w:rPr>
          <w:rFonts w:ascii="Times New Roman" w:hAnsi="Times New Roman"/>
          <w:sz w:val="24"/>
        </w:rPr>
        <w:t>Cecilly, K., Sonia, K., Chakanet, L., Sylvia, C., Simonia, U., Yvette, U., Kumedzro, N. M., &amp; Addeh, G. Y. A. (2022). Exploring the gorilla trekking safari and the tourism industry in Rwanda. Journal of Tourism, Hospitality and Sports, 62. https://doi.org/10.7176/JTHS/62-04</w:t>
      </w:r>
    </w:p>
    <w:p>
      <w:pPr>
        <w:pStyle w:val="Reference"/>
        <w:ind w:hanging="720"/>
      </w:pPr>
      <w:r>
        <w:rPr>
          <w:rFonts w:ascii="Times New Roman" w:hAnsi="Times New Roman"/>
          <w:sz w:val="24"/>
        </w:rPr>
        <w:t>Echtner, C. M., &amp; Ritchie, J. R. B. (1993). The measurement of destination image: An empirical assessment. Journal of Travel Research, 31(4), 3-13. https://doi.org/10.1177/004728759303100402</w:t>
      </w:r>
    </w:p>
    <w:p>
      <w:pPr>
        <w:pStyle w:val="Reference"/>
        <w:ind w:hanging="720"/>
      </w:pPr>
      <w:r>
        <w:rPr>
          <w:rFonts w:ascii="Times New Roman" w:hAnsi="Times New Roman"/>
          <w:sz w:val="24"/>
        </w:rPr>
        <w:t>Grosspietsch, M. (2006). Perceived and projected images of Rwanda: Visitor and international tour operator perspectives. Tourism Management, 27(2), 225-234. https://doi.org/10.1016/j.tourman.2004.08.005</w:t>
      </w:r>
    </w:p>
    <w:p>
      <w:pPr>
        <w:pStyle w:val="Reference"/>
        <w:ind w:hanging="720"/>
      </w:pPr>
      <w:r>
        <w:rPr>
          <w:rFonts w:ascii="Times New Roman" w:hAnsi="Times New Roman"/>
          <w:sz w:val="24"/>
        </w:rPr>
        <w:t>Kavaratzis, M., &amp; Hatch, M. J. (2013). The dynamics of place brands: An identity-based approach to place branding theory. Marketing Theory, 13(1), 69-86. https://doi.org/10.1177/1470593112467268</w:t>
      </w:r>
    </w:p>
    <w:p>
      <w:pPr>
        <w:pStyle w:val="Reference"/>
        <w:ind w:hanging="720"/>
      </w:pPr>
      <w:r>
        <w:rPr>
          <w:rFonts w:ascii="Times New Roman" w:hAnsi="Times New Roman"/>
          <w:sz w:val="24"/>
        </w:rPr>
        <w:t>Mazimhaka, J. (2007). Diversifying Rwanda's tourism industry: A role for domestic tourism. Development Southern Africa, 24(3), 491-504. https://doi.org/10.1080/03768350701445590</w:t>
      </w:r>
    </w:p>
    <w:p>
      <w:pPr>
        <w:pStyle w:val="Reference"/>
        <w:ind w:hanging="720"/>
      </w:pPr>
      <w:r>
        <w:rPr>
          <w:rFonts w:ascii="Times New Roman" w:hAnsi="Times New Roman"/>
          <w:sz w:val="24"/>
        </w:rPr>
        <w:t>Pike, S., &amp; Page, S. J. (2014). Destination Marketing Organizations and destination marketing: A narrative analysis of the literature. Tourism Management, 41, 202-227. https://doi.org/10.1016/j.tourman.2013.09.009</w:t>
      </w:r>
    </w:p>
    <w:p>
      <w:pPr>
        <w:pStyle w:val="Reference"/>
        <w:ind w:hanging="720"/>
      </w:pPr>
      <w:r>
        <w:rPr>
          <w:rFonts w:ascii="Times New Roman" w:hAnsi="Times New Roman"/>
          <w:sz w:val="24"/>
        </w:rPr>
        <w:t>Rwanda Development Board. (2026a). Rwanda Development Board reports strong performance across investment, exports and tourism in 2025. RDB.</w:t>
      </w:r>
    </w:p>
    <w:p>
      <w:pPr>
        <w:pStyle w:val="Reference"/>
        <w:ind w:hanging="720"/>
      </w:pPr>
      <w:r>
        <w:rPr>
          <w:rFonts w:ascii="Times New Roman" w:hAnsi="Times New Roman"/>
          <w:sz w:val="24"/>
        </w:rPr>
        <w:t>Rwanda Development Board. (2026b). RDB five-year strategy 2025-2030. RDB.</w:t>
      </w:r>
    </w:p>
    <w:p>
      <w:pPr>
        <w:pStyle w:val="Reference"/>
        <w:ind w:hanging="720"/>
      </w:pPr>
      <w:r>
        <w:rPr>
          <w:rFonts w:ascii="Times New Roman" w:hAnsi="Times New Roman"/>
          <w:sz w:val="24"/>
        </w:rPr>
        <w:t>SNV Rwanda &amp; RSM Erasmus University. (2008). Branding Rwanda as tourism destination: What image do Rwandan tourism stakeholders want to promote abroad? SNV Rwanda.</w:t>
      </w:r>
    </w:p>
    <w:p>
      <w:pPr>
        <w:pStyle w:val="Reference"/>
        <w:ind w:hanging="720"/>
      </w:pPr>
      <w:r>
        <w:rPr>
          <w:rFonts w:ascii="Times New Roman" w:hAnsi="Times New Roman"/>
          <w:sz w:val="24"/>
        </w:rPr>
        <w:t>Spenceley, A., Habyalimana, S., Tusabe, R., &amp; Mariza, D. (2010). Benefits to the poor from gorilla tourism in Rwanda. Development Southern Africa, 27(5), 647-662. https://doi.org/10.1080/0376835X.2010.522828</w:t>
      </w:r>
    </w:p>
    <w:p>
      <w:pPr>
        <w:pStyle w:val="Reference"/>
        <w:ind w:hanging="720"/>
      </w:pPr>
      <w:r>
        <w:rPr>
          <w:rFonts w:ascii="Times New Roman" w:hAnsi="Times New Roman"/>
          <w:sz w:val="24"/>
        </w:rPr>
        <w:t>Voets, T. Y. (2023). “Visit Rwanda”: A well primed public relations campaign or a genuine attempt at improving the country's image abroad? Place Branding and Public Diplomacy, 19, 143-154. https://doi.org/10.1057/s41254-021-00206-6</w:t>
      </w:r>
    </w:p>
    <w:p>
      <w:pPr>
        <w:pStyle w:val="Heading1"/>
        <w:ind w:firstLine="0"/>
      </w:pPr>
      <w:r>
        <w:t>Appendices</w:t>
      </w:r>
    </w:p>
    <w:p>
      <w:pPr>
        <w:pStyle w:val="Heading2"/>
        <w:ind w:firstLine="0"/>
      </w:pPr>
      <w:r>
        <w:t>Appendix A - Sample Seven-Night Signature Journey</w:t>
      </w:r>
    </w:p>
    <w:p>
      <w:pPr/>
      <w:r>
        <w:rPr>
          <w:rFonts w:ascii="Times New Roman" w:hAnsi="Times New Roman"/>
          <w:sz w:val="24"/>
        </w:rPr>
        <w:t>Day 1 would introduce Kigali through food, design and neighbourhood storytelling rather than a generic city tour. Day 2 would add a thematic historical or entrepreneurship experience. Days 3-4 would move to Volcanoes National Park for conservation interpretation and gorilla trekking. Day 5 would use a cultural or community enterprise experience with transparent benefit sharing. Days 6-7 would offer a choice between Nyungwe rainforest, Lake Kivu or Akagera depending on the traveller’s motivation. The itinerary is intentionally modular so travel advisors can personalise it without rebuilding logistics from zero.</w:t>
      </w:r>
    </w:p>
    <w:p>
      <w:pPr>
        <w:pStyle w:val="Heading2"/>
        <w:ind w:firstLine="0"/>
      </w:pPr>
      <w:r>
        <w:t>Appendix B - Brand Governance Principles</w:t>
      </w:r>
    </w:p>
    <w:p>
      <w:pPr/>
      <w:r>
        <w:rPr>
          <w:rFonts w:ascii="Times New Roman" w:hAnsi="Times New Roman"/>
          <w:sz w:val="24"/>
        </w:rPr>
        <w:t>All campaign activity should follow five rules: protect ecological capacity; verify community-benefit claims; avoid presenting culture as a staged commodity; connect inspiration directly to bookable products; and report both commercial and conservation outcomes. Sponsorship and partnership activity should include measurable destination actions such as qualified visits, itinerary engagement or bookings, rather than relying exclusively on media impressions.</w:t>
      </w:r>
    </w:p>
    <w:sectPr w:rsidR="00FC693F" w:rsidRPr="0006063C" w:rsidSect="00034616">
      <w:footerReference w:type="default" r:id="rId9"/>
      <w:pgSz w:w="12240" w:h="15840"/>
      <w:pgMar w:top="1152" w:right="1224" w:bottom="1152"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ind w:firstLine="432"/>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ascii="Times New Roman" w:hAnsi="Times New Roman"/>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Times New Roman" w:hAnsi="Times New Roman"/>
      <w:b/>
      <w:bCs/>
      <w:color w:val="444444"/>
      <w:sz w:val="26"/>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ascii="Times New Roman" w:hAnsi="Times New Roman"/>
      <w:b/>
      <w:bCs/>
      <w:color w:val="444444"/>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120" w:line="240" w:lineRule="auto" w:before="240"/>
      <w:contextualSpacing/>
    </w:pPr>
    <w:rPr>
      <w:rFonts w:asciiTheme="majorHAnsi" w:eastAsiaTheme="majorEastAsia" w:hAnsiTheme="majorHAnsi" w:cstheme="majorBidi" w:ascii="Times New Roman" w:hAnsi="Times New Roman"/>
      <w:b/>
      <w:color w:val="1F4E79"/>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
    <w:name w:val="Reference"/>
    <w:pPr>
      <w:spacing w:line="480" w:lineRule="auto" w:after="0"/>
      <w:ind w:left="720" w:hanging="720"/>
    </w:pPr>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Beyond Gorillas: Repositioning Rwanda as a Premium, Multi-Experience Destination</dc:title>
  <dc:subject>Marketing Fundamentals detailed project report</dc:subject>
  <dc:creator>Student</dc:creator>
  <cp:keywords/>
  <dc:description>generated by python-docx</dc:description>
  <cp:lastModifiedBy/>
  <cp:revision>1</cp:revision>
  <dcterms:created xsi:type="dcterms:W3CDTF">2013-12-23T23:15:00Z</dcterms:created>
  <dcterms:modified xsi:type="dcterms:W3CDTF">2013-12-23T23:15:00Z</dcterms:modified>
  <cp:category/>
</cp:coreProperties>
</file>