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93D1C" w:rsidRDefault="00672345" w:rsidP="00D93D1C">
      <w:pPr>
        <w:spacing w:line="360" w:lineRule="auto"/>
        <w:rPr>
          <w:rFonts w:asciiTheme="majorBidi" w:hAnsiTheme="majorBidi" w:cstheme="majorBidi"/>
        </w:rPr>
      </w:pPr>
      <w:r w:rsidRPr="00D93D1C">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93D1C" w:rsidRDefault="003C5D74"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Structure of Tourism Markets</w:t>
      </w:r>
    </w:p>
    <w:p w14:paraId="2BDBAD85" w14:textId="77777777" w:rsidR="00672345" w:rsidRPr="00D93D1C" w:rsidRDefault="00672345"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Assignment </w:t>
      </w:r>
      <w:r w:rsidR="0099651A" w:rsidRPr="00D93D1C">
        <w:rPr>
          <w:rFonts w:asciiTheme="majorBidi" w:hAnsiTheme="majorBidi" w:cstheme="majorBidi"/>
          <w:lang w:val="en-US"/>
        </w:rPr>
        <w:t>2</w:t>
      </w:r>
    </w:p>
    <w:p w14:paraId="259C92C5"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15</w:t>
      </w:r>
      <w:r w:rsidR="00672345" w:rsidRPr="00D93D1C">
        <w:rPr>
          <w:rFonts w:asciiTheme="majorBidi" w:hAnsiTheme="majorBidi" w:cstheme="majorBidi"/>
          <w:lang w:val="en-US"/>
        </w:rPr>
        <w:t>.0</w:t>
      </w:r>
      <w:r w:rsidR="003C5D74" w:rsidRPr="00D93D1C">
        <w:rPr>
          <w:rFonts w:asciiTheme="majorBidi" w:hAnsiTheme="majorBidi" w:cstheme="majorBidi"/>
          <w:lang w:val="en-US"/>
        </w:rPr>
        <w:t>7</w:t>
      </w:r>
      <w:r w:rsidR="00672345" w:rsidRPr="00D93D1C">
        <w:rPr>
          <w:rFonts w:asciiTheme="majorBidi" w:hAnsiTheme="majorBidi" w:cstheme="majorBidi"/>
          <w:lang w:val="en-US"/>
        </w:rPr>
        <w:t>.2026</w:t>
      </w:r>
    </w:p>
    <w:p w14:paraId="02B7660A" w14:textId="77777777" w:rsidR="00672345" w:rsidRPr="00D93D1C" w:rsidRDefault="00672345" w:rsidP="00D93D1C">
      <w:pPr>
        <w:spacing w:line="360" w:lineRule="auto"/>
        <w:rPr>
          <w:rFonts w:asciiTheme="majorBidi" w:hAnsiTheme="majorBidi" w:cstheme="majorBidi"/>
        </w:rPr>
      </w:pPr>
    </w:p>
    <w:p w14:paraId="50D23246" w14:textId="77777777" w:rsidR="00672345" w:rsidRPr="00D93D1C" w:rsidRDefault="00672345" w:rsidP="00D93D1C">
      <w:pPr>
        <w:spacing w:line="360" w:lineRule="auto"/>
        <w:rPr>
          <w:rFonts w:asciiTheme="majorBidi" w:hAnsiTheme="majorBidi" w:cstheme="majorBidi"/>
        </w:rPr>
      </w:pPr>
    </w:p>
    <w:p w14:paraId="2ADF7A74" w14:textId="77777777" w:rsidR="00672345" w:rsidRPr="00D93D1C" w:rsidRDefault="00672345" w:rsidP="00D93D1C">
      <w:pPr>
        <w:spacing w:line="360" w:lineRule="auto"/>
        <w:rPr>
          <w:rFonts w:asciiTheme="majorBidi" w:hAnsiTheme="majorBidi" w:cstheme="majorBidi"/>
        </w:rPr>
      </w:pPr>
    </w:p>
    <w:p w14:paraId="5A698882" w14:textId="77777777" w:rsidR="00672345" w:rsidRPr="00D93D1C" w:rsidRDefault="00672345" w:rsidP="00D93D1C">
      <w:pPr>
        <w:spacing w:line="360" w:lineRule="auto"/>
        <w:rPr>
          <w:rFonts w:asciiTheme="majorBidi" w:hAnsiTheme="majorBidi" w:cstheme="majorBidi"/>
        </w:rPr>
      </w:pPr>
    </w:p>
    <w:p w14:paraId="1DA6D14C" w14:textId="77777777" w:rsidR="00672345" w:rsidRPr="00D93D1C" w:rsidRDefault="00672345" w:rsidP="00D93D1C">
      <w:pPr>
        <w:spacing w:line="360" w:lineRule="auto"/>
        <w:rPr>
          <w:rFonts w:asciiTheme="majorBidi" w:hAnsiTheme="majorBidi" w:cstheme="majorBidi"/>
        </w:rPr>
      </w:pPr>
    </w:p>
    <w:p w14:paraId="23B823EF" w14:textId="77777777" w:rsidR="00672345" w:rsidRPr="00D93D1C" w:rsidRDefault="00672345" w:rsidP="00D93D1C">
      <w:pPr>
        <w:spacing w:line="360" w:lineRule="auto"/>
        <w:rPr>
          <w:rFonts w:asciiTheme="majorBidi" w:hAnsiTheme="majorBidi" w:cstheme="majorBidi"/>
        </w:rPr>
      </w:pPr>
    </w:p>
    <w:p w14:paraId="6A473AB3" w14:textId="77777777" w:rsidR="00672345" w:rsidRPr="00D93D1C" w:rsidRDefault="00672345" w:rsidP="00D93D1C">
      <w:pPr>
        <w:spacing w:line="360" w:lineRule="auto"/>
        <w:rPr>
          <w:rFonts w:asciiTheme="majorBidi" w:hAnsiTheme="majorBidi" w:cstheme="majorBidi"/>
        </w:rPr>
      </w:pPr>
    </w:p>
    <w:p w14:paraId="49A3CBAE" w14:textId="77777777" w:rsidR="00672345" w:rsidRPr="00D93D1C" w:rsidRDefault="00672345" w:rsidP="00D93D1C">
      <w:pPr>
        <w:spacing w:line="360" w:lineRule="auto"/>
        <w:rPr>
          <w:rFonts w:asciiTheme="majorBidi" w:hAnsiTheme="majorBidi" w:cstheme="majorBidi"/>
        </w:rPr>
      </w:pPr>
    </w:p>
    <w:p w14:paraId="2BC9A635" w14:textId="77777777" w:rsidR="00672345" w:rsidRPr="00D93D1C" w:rsidRDefault="00672345" w:rsidP="00D93D1C">
      <w:pPr>
        <w:spacing w:line="360" w:lineRule="auto"/>
        <w:rPr>
          <w:rFonts w:asciiTheme="majorBidi" w:hAnsiTheme="majorBidi" w:cstheme="majorBidi"/>
        </w:rPr>
      </w:pPr>
    </w:p>
    <w:p w14:paraId="71FA0A7B" w14:textId="77777777" w:rsidR="00672345" w:rsidRPr="00D93D1C" w:rsidRDefault="00672345" w:rsidP="00D93D1C">
      <w:pPr>
        <w:spacing w:line="360" w:lineRule="auto"/>
        <w:rPr>
          <w:rFonts w:asciiTheme="majorBidi" w:hAnsiTheme="majorBidi" w:cstheme="majorBidi"/>
        </w:rPr>
      </w:pPr>
    </w:p>
    <w:p w14:paraId="2070F89D" w14:textId="77777777" w:rsidR="00672345" w:rsidRPr="00D93D1C" w:rsidRDefault="00672345" w:rsidP="00D93D1C">
      <w:pPr>
        <w:spacing w:line="360" w:lineRule="auto"/>
        <w:rPr>
          <w:rFonts w:asciiTheme="majorBidi" w:hAnsiTheme="majorBidi" w:cstheme="majorBidi"/>
        </w:rPr>
      </w:pPr>
    </w:p>
    <w:p w14:paraId="28FE501D" w14:textId="77777777" w:rsidR="00672345" w:rsidRPr="00D93D1C" w:rsidRDefault="00672345" w:rsidP="00D93D1C">
      <w:pPr>
        <w:spacing w:line="360" w:lineRule="auto"/>
        <w:rPr>
          <w:rFonts w:asciiTheme="majorBidi" w:hAnsiTheme="majorBidi" w:cstheme="majorBidi"/>
        </w:rPr>
      </w:pPr>
    </w:p>
    <w:p w14:paraId="3F544167" w14:textId="77777777" w:rsidR="00672345" w:rsidRPr="00D93D1C" w:rsidRDefault="00672345" w:rsidP="00D93D1C">
      <w:pPr>
        <w:spacing w:line="360" w:lineRule="auto"/>
        <w:rPr>
          <w:rFonts w:asciiTheme="majorBidi" w:hAnsiTheme="majorBidi" w:cstheme="majorBidi"/>
        </w:rPr>
      </w:pPr>
    </w:p>
    <w:p w14:paraId="1E5DD03B" w14:textId="77777777" w:rsidR="00672345" w:rsidRPr="00D93D1C" w:rsidRDefault="00672345"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In no more than 500 words, each explain and 2-4 references:</w:t>
      </w:r>
    </w:p>
    <w:p w14:paraId="100A29AC" w14:textId="77777777" w:rsidR="00672345" w:rsidRPr="00D93D1C" w:rsidRDefault="00672345" w:rsidP="00D93D1C">
      <w:pPr>
        <w:spacing w:line="360" w:lineRule="auto"/>
        <w:rPr>
          <w:rFonts w:asciiTheme="majorBidi" w:hAnsiTheme="majorBidi" w:cstheme="majorBidi"/>
          <w:b/>
          <w:bCs/>
          <w:lang w:val="en-US"/>
        </w:rPr>
      </w:pPr>
    </w:p>
    <w:p w14:paraId="70ED74D6" w14:textId="77777777" w:rsidR="00672345" w:rsidRPr="00D93D1C" w:rsidRDefault="00672345" w:rsidP="00D93D1C">
      <w:pPr>
        <w:spacing w:line="360" w:lineRule="auto"/>
        <w:rPr>
          <w:rFonts w:asciiTheme="majorBidi" w:hAnsiTheme="majorBidi" w:cstheme="majorBidi"/>
          <w:b/>
          <w:bCs/>
          <w:lang w:val="en-US"/>
        </w:rPr>
      </w:pPr>
    </w:p>
    <w:p w14:paraId="60A82F46" w14:textId="77777777" w:rsidR="00672345" w:rsidRPr="00D93D1C" w:rsidRDefault="00672345" w:rsidP="00D93D1C">
      <w:pPr>
        <w:spacing w:line="360" w:lineRule="auto"/>
        <w:rPr>
          <w:rFonts w:asciiTheme="majorBidi" w:hAnsiTheme="majorBidi" w:cstheme="majorBidi"/>
          <w:lang w:val="en-US"/>
        </w:rPr>
      </w:pPr>
    </w:p>
    <w:p w14:paraId="2F2A823F" w14:textId="77777777" w:rsidR="0099651A" w:rsidRPr="00D93D1C" w:rsidRDefault="003C5D74"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1- </w:t>
      </w:r>
      <w:r w:rsidR="0099651A" w:rsidRPr="00D93D1C">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D93D1C" w:rsidRDefault="0099651A" w:rsidP="00D93D1C">
      <w:pPr>
        <w:spacing w:line="360" w:lineRule="auto"/>
        <w:rPr>
          <w:rFonts w:asciiTheme="majorBidi" w:hAnsiTheme="majorBidi" w:cstheme="majorBidi"/>
          <w:lang w:val="en-US"/>
        </w:rPr>
      </w:pPr>
    </w:p>
    <w:p w14:paraId="29164B10"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D93D1C" w:rsidRDefault="007775D4" w:rsidP="00D93D1C">
      <w:pPr>
        <w:spacing w:line="360" w:lineRule="auto"/>
        <w:rPr>
          <w:rFonts w:asciiTheme="majorBidi" w:hAnsiTheme="majorBidi" w:cstheme="majorBidi"/>
          <w:lang w:val="en-US"/>
        </w:rPr>
      </w:pPr>
    </w:p>
    <w:p w14:paraId="5CC7E311" w14:textId="77777777" w:rsidR="007775D4" w:rsidRPr="00D93D1C" w:rsidRDefault="007775D4" w:rsidP="00D93D1C">
      <w:pPr>
        <w:spacing w:line="360" w:lineRule="auto"/>
        <w:rPr>
          <w:rFonts w:asciiTheme="majorBidi" w:hAnsiTheme="majorBidi" w:cstheme="majorBidi"/>
          <w:lang w:val="en-US"/>
        </w:rPr>
      </w:pPr>
    </w:p>
    <w:p w14:paraId="03FAF57B" w14:textId="77777777" w:rsidR="007775D4" w:rsidRPr="00D93D1C" w:rsidRDefault="007775D4" w:rsidP="00D93D1C">
      <w:pPr>
        <w:spacing w:line="360" w:lineRule="auto"/>
        <w:rPr>
          <w:rFonts w:asciiTheme="majorBidi" w:hAnsiTheme="majorBidi" w:cstheme="majorBidi"/>
          <w:lang w:val="en-US"/>
        </w:rPr>
      </w:pPr>
    </w:p>
    <w:p w14:paraId="43A7CC9B" w14:textId="77777777" w:rsidR="007775D4" w:rsidRPr="00D93D1C" w:rsidRDefault="007775D4" w:rsidP="00D93D1C">
      <w:pPr>
        <w:spacing w:line="360" w:lineRule="auto"/>
        <w:rPr>
          <w:rFonts w:asciiTheme="majorBidi" w:hAnsiTheme="majorBidi" w:cstheme="majorBidi"/>
          <w:lang w:val="en-US"/>
        </w:rPr>
      </w:pPr>
    </w:p>
    <w:p w14:paraId="052DC2BE" w14:textId="77777777" w:rsidR="007775D4" w:rsidRPr="00D93D1C" w:rsidRDefault="007775D4" w:rsidP="00D93D1C">
      <w:pPr>
        <w:spacing w:line="360" w:lineRule="auto"/>
        <w:rPr>
          <w:rFonts w:asciiTheme="majorBidi" w:hAnsiTheme="majorBidi" w:cstheme="majorBidi"/>
          <w:lang w:val="en-US"/>
        </w:rPr>
      </w:pPr>
    </w:p>
    <w:p w14:paraId="2AD5E46B" w14:textId="77777777" w:rsidR="007775D4" w:rsidRPr="00D93D1C" w:rsidRDefault="007775D4" w:rsidP="00D93D1C">
      <w:pPr>
        <w:spacing w:line="360" w:lineRule="auto"/>
        <w:rPr>
          <w:rFonts w:asciiTheme="majorBidi" w:hAnsiTheme="majorBidi" w:cstheme="majorBidi"/>
          <w:lang w:val="en-US"/>
        </w:rPr>
      </w:pPr>
    </w:p>
    <w:p w14:paraId="62629939" w14:textId="77777777" w:rsidR="007775D4" w:rsidRPr="00D93D1C" w:rsidRDefault="007775D4" w:rsidP="00D93D1C">
      <w:pPr>
        <w:spacing w:line="360" w:lineRule="auto"/>
        <w:rPr>
          <w:rFonts w:asciiTheme="majorBidi" w:hAnsiTheme="majorBidi" w:cstheme="majorBidi"/>
          <w:lang w:val="en-US"/>
        </w:rPr>
      </w:pPr>
    </w:p>
    <w:p w14:paraId="72BBBCF0" w14:textId="262BD072" w:rsidR="00D21436" w:rsidRDefault="00D21436" w:rsidP="00C50F64">
      <w:pPr>
        <w:spacing w:line="360" w:lineRule="auto"/>
        <w:rPr>
          <w:rFonts w:asciiTheme="majorBidi" w:hAnsiTheme="majorBidi" w:cstheme="majorBidi"/>
          <w:lang w:val="en-US"/>
        </w:rPr>
      </w:pPr>
    </w:p>
    <w:p w14:paraId="1BFCE916" w14:textId="77777777" w:rsidR="00A42266" w:rsidRPr="00A42266" w:rsidRDefault="00A42266" w:rsidP="00A42266">
      <w:pPr>
        <w:spacing w:line="360" w:lineRule="auto"/>
        <w:rPr>
          <w:rFonts w:asciiTheme="majorBidi" w:hAnsiTheme="majorBidi" w:cstheme="majorBidi"/>
          <w:b/>
          <w:bCs/>
          <w:lang w:val="en-GB"/>
        </w:rPr>
      </w:pPr>
      <w:r w:rsidRPr="00A42266">
        <w:rPr>
          <w:rFonts w:asciiTheme="majorBidi" w:hAnsiTheme="majorBidi" w:cstheme="majorBidi"/>
          <w:b/>
          <w:bCs/>
          <w:lang w:val="en-GB"/>
        </w:rPr>
        <w:lastRenderedPageBreak/>
        <w:t>1. Actual, Suppressed and Latent Tourism Demand</w:t>
      </w:r>
    </w:p>
    <w:p w14:paraId="5086A160"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t>Tourism demand represents the willingness and ability of individuals to travel and consume tourism-related goods and services. It covers activities such as using transport, staying in accommodation, visiting attractions and participating in recreational experiences. However, not everyone who has an interest in travelling is able to undertake a trip. Personal circumstances, financial resources and the availability of suitable opportunities influence whether potential demand becomes actual tourism activity. Understanding these variations helps tourism organisations recognise both existing and future market opportunities (Stabler et al., 2010).</w:t>
      </w:r>
    </w:p>
    <w:p w14:paraId="57E9CE9E"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b/>
          <w:bCs/>
          <w:lang w:val="en-GB"/>
        </w:rPr>
        <w:t>Actual demand</w:t>
      </w:r>
      <w:r w:rsidRPr="00A42266">
        <w:rPr>
          <w:rFonts w:asciiTheme="majorBidi" w:hAnsiTheme="majorBidi" w:cstheme="majorBidi"/>
          <w:lang w:val="en-GB"/>
        </w:rPr>
        <w:t xml:space="preserve"> refers to individuals who currently participate in tourism. These travellers have the necessary motivation, financial capacity, time and access required to complete a journey. Because they actively purchase tourism products, their behaviour can be measured through visitor arrivals, accommodation occupancy, transportation use and tourism expenditure. For example, a family travelling to Dubai during a school holiday and paying for flights, accommodation and attractions represents actual demand.</w:t>
      </w:r>
    </w:p>
    <w:p w14:paraId="3FA86F12"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b/>
          <w:bCs/>
          <w:lang w:val="en-GB"/>
        </w:rPr>
        <w:t>Suppressed demand</w:t>
      </w:r>
      <w:r w:rsidRPr="00A42266">
        <w:rPr>
          <w:rFonts w:asciiTheme="majorBidi" w:hAnsiTheme="majorBidi" w:cstheme="majorBidi"/>
          <w:lang w:val="en-GB"/>
        </w:rPr>
        <w:t xml:space="preserve"> includes individuals who want to travel but face barriers that prevent them from doing so. Such barriers can include insufficient savings, high travel costs, limited annual leave, family responsibilities or difficulties obtaining travel documents. Tourism constraints can affect people's ability to participate even when they have a genuine desire to travel (Chen et al., 2013). For example, a young professional may want to take a holiday in South Korea but delay the journey because current work commitments do not allow enough leave. If the restriction is removed later, this suppressed demand could become actual demand.</w:t>
      </w:r>
    </w:p>
    <w:p w14:paraId="3BB9E00E"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b/>
          <w:bCs/>
          <w:lang w:val="en-GB"/>
        </w:rPr>
        <w:t>Latent demand</w:t>
      </w:r>
      <w:r w:rsidRPr="00A42266">
        <w:rPr>
          <w:rFonts w:asciiTheme="majorBidi" w:hAnsiTheme="majorBidi" w:cstheme="majorBidi"/>
          <w:lang w:val="en-GB"/>
        </w:rPr>
        <w:t xml:space="preserve"> refers to potential demand that has not yet developed into a clear intention to travel. It may emerge when consumers discover new destinations, tourism products or more convenient travel opportunities. For instance, the development of a wildlife tourism experience near a city could encourage residents who had previously shown little interest in visiting the area.</w:t>
      </w:r>
    </w:p>
    <w:p w14:paraId="64D53CBF"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t>Understanding all three categories is valuable for tourism businesses. Actual demand provides information about current customers, whereas suppressed and latent demand can reveal opportunities to expand the market by removing barriers or introducing attractive new experiences.</w:t>
      </w:r>
    </w:p>
    <w:p w14:paraId="6388460C" w14:textId="77777777" w:rsidR="00A42266" w:rsidRPr="00A42266" w:rsidRDefault="00A42266" w:rsidP="00A42266">
      <w:pPr>
        <w:spacing w:line="360" w:lineRule="auto"/>
        <w:rPr>
          <w:rFonts w:asciiTheme="majorBidi" w:hAnsiTheme="majorBidi" w:cstheme="majorBidi"/>
          <w:b/>
          <w:bCs/>
          <w:lang w:val="en-GB"/>
        </w:rPr>
      </w:pPr>
      <w:r w:rsidRPr="00A42266">
        <w:rPr>
          <w:rFonts w:asciiTheme="majorBidi" w:hAnsiTheme="majorBidi" w:cstheme="majorBidi"/>
          <w:b/>
          <w:bCs/>
          <w:lang w:val="en-GB"/>
        </w:rPr>
        <w:t>2. Influence of Income, Time and Price on Tourism Demand</w:t>
      </w:r>
    </w:p>
    <w:p w14:paraId="7DF43251"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lastRenderedPageBreak/>
        <w:t>The decision to travel involves the allocation of both financial resources and leisure time. Consumers must determine whether a holiday fits within their available budget and everyday responsibilities. Therefore, income, time and price can influence whether tourism occurs, the destination selected and the amount tourists spend during their trip.</w:t>
      </w:r>
    </w:p>
    <w:p w14:paraId="1C3B4636"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b/>
          <w:bCs/>
          <w:lang w:val="en-GB"/>
        </w:rPr>
        <w:t>Income</w:t>
      </w:r>
      <w:r w:rsidRPr="00A42266">
        <w:rPr>
          <w:rFonts w:asciiTheme="majorBidi" w:hAnsiTheme="majorBidi" w:cstheme="majorBidi"/>
          <w:lang w:val="en-GB"/>
        </w:rPr>
        <w:t xml:space="preserve"> affects a consumer's ability to purchase tourism services. Holidays are generally discretionary purchases, meaning that people normally spend on travel after essential expenses have been covered. Individuals with higher disposable income may travel more often, select distant destinations or spend more on accommodation and entertainment. In contrast, consumers experiencing financial pressure may reduce or postpone tourism expenditure. Research indicates that household income is an important factor influencing decisions about tourism participation and expenditure (Alegre et al., 2013).</w:t>
      </w:r>
    </w:p>
    <w:p w14:paraId="290157F7"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b/>
          <w:bCs/>
          <w:lang w:val="en-GB"/>
        </w:rPr>
        <w:t>Time</w:t>
      </w:r>
      <w:r w:rsidRPr="00A42266">
        <w:rPr>
          <w:rFonts w:asciiTheme="majorBidi" w:hAnsiTheme="majorBidi" w:cstheme="majorBidi"/>
          <w:lang w:val="en-GB"/>
        </w:rPr>
        <w:t xml:space="preserve"> is equally important because consumers require sufficient leisure periods to undertake a journey. Employment responsibilities, annual leave, school terms and family obligations can limit travel opportunities. A person with three available days may prefer a destination within a short travelling distance, while someone with two weeks of leave may consider an international holiday. Transport improvements can also affect the value of time by allowing tourists to reach destinations more quickly.</w:t>
      </w:r>
    </w:p>
    <w:p w14:paraId="33986A1C"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b/>
          <w:bCs/>
          <w:lang w:val="en-GB"/>
        </w:rPr>
        <w:t>Price</w:t>
      </w:r>
      <w:r w:rsidRPr="00A42266">
        <w:rPr>
          <w:rFonts w:asciiTheme="majorBidi" w:hAnsiTheme="majorBidi" w:cstheme="majorBidi"/>
          <w:lang w:val="en-GB"/>
        </w:rPr>
        <w:t xml:space="preserve"> influences both the affordability of tourism and the choices made between competing destinations. Consumers usually calculate the expected cost of flights, hotels, meals, local transportation and activities when planning a holiday. If these expenses increase substantially, some tourists may reduce their length of stay or select a cheaper alternative. Tourism demand is therefore sensitive to changes in prices, although the level of sensitivity can differ according to destination and visitor market (Brida &amp; Scuderi, 2013).</w:t>
      </w:r>
    </w:p>
    <w:p w14:paraId="792B83AB" w14:textId="77777777" w:rsid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t>Income, time and price ultimately operate together when consumers make travel decisions. Income provides purchasing power, available time determines practical opportunity, and price influences the amount and type of tourism that consumers can afford. Tourism organisations that understand these relationships can develop more suitable products, pricing strategies and travel packages.</w:t>
      </w:r>
    </w:p>
    <w:p w14:paraId="213265EB" w14:textId="77777777" w:rsidR="00A42266" w:rsidRDefault="00A42266" w:rsidP="00A42266">
      <w:pPr>
        <w:spacing w:line="360" w:lineRule="auto"/>
        <w:rPr>
          <w:rFonts w:asciiTheme="majorBidi" w:hAnsiTheme="majorBidi" w:cstheme="majorBidi"/>
          <w:lang w:val="en-GB"/>
        </w:rPr>
      </w:pPr>
    </w:p>
    <w:p w14:paraId="3A81ADD7" w14:textId="77777777" w:rsidR="00A42266" w:rsidRDefault="00A42266" w:rsidP="00A42266">
      <w:pPr>
        <w:spacing w:line="360" w:lineRule="auto"/>
        <w:rPr>
          <w:rFonts w:asciiTheme="majorBidi" w:hAnsiTheme="majorBidi" w:cstheme="majorBidi"/>
          <w:lang w:val="en-GB"/>
        </w:rPr>
      </w:pPr>
    </w:p>
    <w:p w14:paraId="66C623F1" w14:textId="77777777" w:rsidR="00A42266" w:rsidRDefault="00A42266" w:rsidP="00A42266">
      <w:pPr>
        <w:spacing w:line="360" w:lineRule="auto"/>
        <w:rPr>
          <w:rFonts w:asciiTheme="majorBidi" w:hAnsiTheme="majorBidi" w:cstheme="majorBidi"/>
          <w:lang w:val="en-GB"/>
        </w:rPr>
      </w:pPr>
    </w:p>
    <w:p w14:paraId="5BC36CC7" w14:textId="77777777" w:rsidR="00A42266" w:rsidRDefault="00A42266" w:rsidP="00A42266">
      <w:pPr>
        <w:spacing w:line="360" w:lineRule="auto"/>
        <w:rPr>
          <w:rFonts w:asciiTheme="majorBidi" w:hAnsiTheme="majorBidi" w:cstheme="majorBidi"/>
          <w:lang w:val="en-GB"/>
        </w:rPr>
      </w:pPr>
    </w:p>
    <w:p w14:paraId="36F58A23" w14:textId="77777777" w:rsidR="00A42266" w:rsidRDefault="00A42266" w:rsidP="00A42266">
      <w:pPr>
        <w:spacing w:line="360" w:lineRule="auto"/>
        <w:rPr>
          <w:rFonts w:asciiTheme="majorBidi" w:hAnsiTheme="majorBidi" w:cstheme="majorBidi"/>
          <w:lang w:val="en-GB"/>
        </w:rPr>
      </w:pPr>
    </w:p>
    <w:p w14:paraId="00B45082" w14:textId="77777777" w:rsidR="00A42266" w:rsidRPr="00A42266" w:rsidRDefault="00A42266" w:rsidP="00A42266">
      <w:pPr>
        <w:spacing w:line="360" w:lineRule="auto"/>
        <w:rPr>
          <w:rFonts w:asciiTheme="majorBidi" w:hAnsiTheme="majorBidi" w:cstheme="majorBidi"/>
          <w:lang w:val="en-GB"/>
        </w:rPr>
      </w:pPr>
    </w:p>
    <w:p w14:paraId="15672C9D" w14:textId="77777777" w:rsidR="00A42266" w:rsidRPr="00A42266" w:rsidRDefault="00A42266" w:rsidP="00A42266">
      <w:pPr>
        <w:spacing w:line="360" w:lineRule="auto"/>
        <w:rPr>
          <w:rFonts w:asciiTheme="majorBidi" w:hAnsiTheme="majorBidi" w:cstheme="majorBidi"/>
          <w:b/>
          <w:bCs/>
          <w:lang w:val="en-GB"/>
        </w:rPr>
      </w:pPr>
      <w:r w:rsidRPr="00A42266">
        <w:rPr>
          <w:rFonts w:asciiTheme="majorBidi" w:hAnsiTheme="majorBidi" w:cstheme="majorBidi"/>
          <w:b/>
          <w:bCs/>
          <w:lang w:val="en-GB"/>
        </w:rPr>
        <w:lastRenderedPageBreak/>
        <w:t>References</w:t>
      </w:r>
    </w:p>
    <w:p w14:paraId="32272F52"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t xml:space="preserve">Alegre, J., Mateo, S., &amp; Pou, L. (2013). Tourism participation and expenditure by Spanish households: The effects of the economic crisis and unemployment. </w:t>
      </w:r>
      <w:r w:rsidRPr="00A42266">
        <w:rPr>
          <w:rFonts w:asciiTheme="majorBidi" w:hAnsiTheme="majorBidi" w:cstheme="majorBidi"/>
          <w:i/>
          <w:iCs/>
          <w:lang w:val="en-GB"/>
        </w:rPr>
        <w:t>Tourism Management, 39</w:t>
      </w:r>
      <w:r w:rsidRPr="00A42266">
        <w:rPr>
          <w:rFonts w:asciiTheme="majorBidi" w:hAnsiTheme="majorBidi" w:cstheme="majorBidi"/>
          <w:lang w:val="en-GB"/>
        </w:rPr>
        <w:t>, 37–49.</w:t>
      </w:r>
    </w:p>
    <w:p w14:paraId="244F1DAE"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t xml:space="preserve">Brida, J. G., &amp; Scuderi, R. (2013). Determinants of tourist expenditure: A review of </w:t>
      </w:r>
      <w:proofErr w:type="spellStart"/>
      <w:r w:rsidRPr="00A42266">
        <w:rPr>
          <w:rFonts w:asciiTheme="majorBidi" w:hAnsiTheme="majorBidi" w:cstheme="majorBidi"/>
          <w:lang w:val="en-GB"/>
        </w:rPr>
        <w:t>microeconometric</w:t>
      </w:r>
      <w:proofErr w:type="spellEnd"/>
      <w:r w:rsidRPr="00A42266">
        <w:rPr>
          <w:rFonts w:asciiTheme="majorBidi" w:hAnsiTheme="majorBidi" w:cstheme="majorBidi"/>
          <w:lang w:val="en-GB"/>
        </w:rPr>
        <w:t xml:space="preserve"> models. </w:t>
      </w:r>
      <w:r w:rsidRPr="00A42266">
        <w:rPr>
          <w:rFonts w:asciiTheme="majorBidi" w:hAnsiTheme="majorBidi" w:cstheme="majorBidi"/>
          <w:i/>
          <w:iCs/>
          <w:lang w:val="en-GB"/>
        </w:rPr>
        <w:t>Tourism Management Perspectives, 6</w:t>
      </w:r>
      <w:r w:rsidRPr="00A42266">
        <w:rPr>
          <w:rFonts w:asciiTheme="majorBidi" w:hAnsiTheme="majorBidi" w:cstheme="majorBidi"/>
          <w:lang w:val="en-GB"/>
        </w:rPr>
        <w:t>, 28–40.</w:t>
      </w:r>
    </w:p>
    <w:p w14:paraId="0A325B3B"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t xml:space="preserve">Chen, H.-J., Chen, P.-J., &amp; </w:t>
      </w:r>
      <w:proofErr w:type="spellStart"/>
      <w:r w:rsidRPr="00A42266">
        <w:rPr>
          <w:rFonts w:asciiTheme="majorBidi" w:hAnsiTheme="majorBidi" w:cstheme="majorBidi"/>
          <w:lang w:val="en-GB"/>
        </w:rPr>
        <w:t>Okumus</w:t>
      </w:r>
      <w:proofErr w:type="spellEnd"/>
      <w:r w:rsidRPr="00A42266">
        <w:rPr>
          <w:rFonts w:asciiTheme="majorBidi" w:hAnsiTheme="majorBidi" w:cstheme="majorBidi"/>
          <w:lang w:val="en-GB"/>
        </w:rPr>
        <w:t xml:space="preserve">, F. (2013). The relationship between travel constraints and destination image: A case study of Brunei. </w:t>
      </w:r>
      <w:r w:rsidRPr="00A42266">
        <w:rPr>
          <w:rFonts w:asciiTheme="majorBidi" w:hAnsiTheme="majorBidi" w:cstheme="majorBidi"/>
          <w:i/>
          <w:iCs/>
          <w:lang w:val="en-GB"/>
        </w:rPr>
        <w:t>Tourism Management, 35</w:t>
      </w:r>
      <w:r w:rsidRPr="00A42266">
        <w:rPr>
          <w:rFonts w:asciiTheme="majorBidi" w:hAnsiTheme="majorBidi" w:cstheme="majorBidi"/>
          <w:lang w:val="en-GB"/>
        </w:rPr>
        <w:t>, 198–208.</w:t>
      </w:r>
    </w:p>
    <w:p w14:paraId="48E290B1" w14:textId="77777777" w:rsidR="00A42266" w:rsidRPr="00A42266" w:rsidRDefault="00A42266" w:rsidP="00A42266">
      <w:pPr>
        <w:spacing w:line="360" w:lineRule="auto"/>
        <w:rPr>
          <w:rFonts w:asciiTheme="majorBidi" w:hAnsiTheme="majorBidi" w:cstheme="majorBidi"/>
          <w:lang w:val="en-GB"/>
        </w:rPr>
      </w:pPr>
      <w:r w:rsidRPr="00A42266">
        <w:rPr>
          <w:rFonts w:asciiTheme="majorBidi" w:hAnsiTheme="majorBidi" w:cstheme="majorBidi"/>
          <w:lang w:val="en-GB"/>
        </w:rPr>
        <w:t xml:space="preserve">Stabler, M. J., Papatheodorou, A., &amp; Sinclair, M. T. (2010). </w:t>
      </w:r>
      <w:r w:rsidRPr="00A42266">
        <w:rPr>
          <w:rFonts w:asciiTheme="majorBidi" w:hAnsiTheme="majorBidi" w:cstheme="majorBidi"/>
          <w:i/>
          <w:iCs/>
          <w:lang w:val="en-GB"/>
        </w:rPr>
        <w:t>The economics of tourism</w:t>
      </w:r>
      <w:r w:rsidRPr="00A42266">
        <w:rPr>
          <w:rFonts w:asciiTheme="majorBidi" w:hAnsiTheme="majorBidi" w:cstheme="majorBidi"/>
          <w:lang w:val="en-GB"/>
        </w:rPr>
        <w:t xml:space="preserve"> (2nd ed.). Routledge.</w:t>
      </w:r>
    </w:p>
    <w:p w14:paraId="6760F28B" w14:textId="77777777" w:rsidR="00A42266" w:rsidRPr="00D93D1C" w:rsidRDefault="00A42266" w:rsidP="00C50F64">
      <w:pPr>
        <w:spacing w:line="360" w:lineRule="auto"/>
        <w:rPr>
          <w:rFonts w:asciiTheme="majorBidi" w:hAnsiTheme="majorBidi" w:cstheme="majorBidi"/>
        </w:rPr>
      </w:pPr>
    </w:p>
    <w:sectPr w:rsidR="00A42266" w:rsidRPr="00D93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36DF0E2-BE84-4B86-8F06-EA2BF0D842B5}"/>
    <w:embedBold r:id="rId2" w:fontKey="{007FAFE8-AA9B-47EA-97EA-E425C01219DF}"/>
    <w:embedItalic r:id="rId3" w:fontKey="{B76D07B4-E1D1-4C1B-B9F7-64FD3917E58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FA42EC0-4399-4B95-B489-2B67FF54D2CD}"/>
  </w:font>
  <w:font w:name="Calibri Light">
    <w:panose1 w:val="020F0302020204030204"/>
    <w:charset w:val="00"/>
    <w:family w:val="swiss"/>
    <w:pitch w:val="variable"/>
    <w:sig w:usb0="E4002EFF" w:usb1="C000247B" w:usb2="00000009" w:usb3="00000000" w:csb0="000001FF" w:csb1="00000000"/>
    <w:embedRegular r:id="rId5" w:fontKey="{4B81E831-E1F4-4982-BF80-4CBE3A19B1C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0176"/>
    <w:rsid w:val="00426865"/>
    <w:rsid w:val="00477CAA"/>
    <w:rsid w:val="00502E29"/>
    <w:rsid w:val="005E458B"/>
    <w:rsid w:val="00672345"/>
    <w:rsid w:val="00774148"/>
    <w:rsid w:val="007775D4"/>
    <w:rsid w:val="00844EC2"/>
    <w:rsid w:val="008516FE"/>
    <w:rsid w:val="0099651A"/>
    <w:rsid w:val="009C1D0A"/>
    <w:rsid w:val="00A044F7"/>
    <w:rsid w:val="00A42266"/>
    <w:rsid w:val="00A8150E"/>
    <w:rsid w:val="00B107A5"/>
    <w:rsid w:val="00B20343"/>
    <w:rsid w:val="00B85EA7"/>
    <w:rsid w:val="00BE65DD"/>
    <w:rsid w:val="00C50F64"/>
    <w:rsid w:val="00C612A4"/>
    <w:rsid w:val="00CC6AD1"/>
    <w:rsid w:val="00D21436"/>
    <w:rsid w:val="00D93D1C"/>
    <w:rsid w:val="00E12DA2"/>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897</Words>
  <Characters>5115</Characters>
  <Application>Microsoft Office Word</Application>
  <DocSecurity>0</DocSecurity>
  <Lines>42</Lines>
  <Paragraphs>11</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2026-08-30T10:45:00Z</dcterms:created>
  <dcterms:modified xsi:type="dcterms:W3CDTF">2026-08-30T10:45:00Z</dcterms:modified>
</cp:coreProperties>
</file>