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A5CEF69" w:rsidR="000D12EF" w:rsidRPr="000437FE" w:rsidRDefault="000437FE" w:rsidP="00013DBD">
      <w:pPr>
        <w:spacing w:line="480" w:lineRule="auto"/>
        <w:rPr>
          <w:rFonts w:ascii="Times New Roman" w:hAnsi="Times New Roman" w:cs="Times New Roman"/>
          <w:color w:val="000000" w:themeColor="text1"/>
          <w:szCs w:val="24"/>
          <w:lang w:val="en-US"/>
        </w:rPr>
      </w:pPr>
      <w:r w:rsidRPr="000437FE">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13CCD34C">
            <wp:simplePos x="0" y="0"/>
            <wp:positionH relativeFrom="margin">
              <wp:posOffset>5666740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1C747298" w:rsidR="00D33052" w:rsidRPr="000437FE" w:rsidRDefault="00D33052" w:rsidP="00013DBD">
      <w:pPr>
        <w:spacing w:line="480" w:lineRule="auto"/>
        <w:rPr>
          <w:rFonts w:ascii="Times New Roman" w:hAnsi="Times New Roman" w:cs="Times New Roman"/>
          <w:color w:val="000000" w:themeColor="text1"/>
          <w:szCs w:val="24"/>
          <w:lang w:val="en-US"/>
        </w:rPr>
      </w:pPr>
    </w:p>
    <w:p w14:paraId="7E3FD4C8" w14:textId="77777777" w:rsidR="004A1F6F" w:rsidRPr="000437FE"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437FE"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437FE"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0437FE" w:rsidRDefault="00F72ED2" w:rsidP="00013DBD">
      <w:pPr>
        <w:spacing w:line="480" w:lineRule="auto"/>
        <w:jc w:val="center"/>
        <w:rPr>
          <w:rFonts w:ascii="Times New Roman" w:hAnsi="Times New Roman" w:cs="Times New Roman"/>
          <w:b/>
          <w:bCs/>
          <w:color w:val="000000" w:themeColor="text1"/>
          <w:szCs w:val="24"/>
        </w:rPr>
      </w:pPr>
      <w:proofErr w:type="gramStart"/>
      <w:r w:rsidRPr="000437FE">
        <w:rPr>
          <w:rFonts w:ascii="Times New Roman" w:hAnsi="Times New Roman" w:cs="Times New Roman"/>
          <w:b/>
          <w:bCs/>
          <w:color w:val="000000" w:themeColor="text1"/>
          <w:szCs w:val="24"/>
        </w:rPr>
        <w:t>Bachelor's</w:t>
      </w:r>
      <w:proofErr w:type="gramEnd"/>
      <w:r w:rsidRPr="000437FE">
        <w:rPr>
          <w:rFonts w:ascii="Times New Roman" w:hAnsi="Times New Roman" w:cs="Times New Roman"/>
          <w:b/>
          <w:bCs/>
          <w:color w:val="000000" w:themeColor="text1"/>
          <w:szCs w:val="24"/>
        </w:rPr>
        <w:t xml:space="preserve"> in Tourism and Recreation</w:t>
      </w:r>
    </w:p>
    <w:p w14:paraId="2BA9879A" w14:textId="77777777" w:rsidR="0023731E" w:rsidRPr="0023731E" w:rsidRDefault="0023731E" w:rsidP="0023731E">
      <w:pPr>
        <w:spacing w:line="480" w:lineRule="auto"/>
        <w:jc w:val="center"/>
        <w:rPr>
          <w:rFonts w:ascii="Times New Roman" w:hAnsi="Times New Roman" w:cs="Times New Roman"/>
          <w:b/>
          <w:bCs/>
          <w:color w:val="000000" w:themeColor="text1"/>
          <w:szCs w:val="24"/>
        </w:rPr>
      </w:pPr>
      <w:r w:rsidRPr="0023731E">
        <w:rPr>
          <w:rFonts w:ascii="Times New Roman" w:hAnsi="Times New Roman" w:cs="Times New Roman"/>
          <w:b/>
          <w:bCs/>
          <w:color w:val="000000" w:themeColor="text1"/>
          <w:szCs w:val="24"/>
        </w:rPr>
        <w:t>Tourism Law</w:t>
      </w:r>
    </w:p>
    <w:p w14:paraId="024E721F" w14:textId="3730EB0D" w:rsidR="004D7D13" w:rsidRPr="000437FE" w:rsidRDefault="0023731E" w:rsidP="0023731E">
      <w:pPr>
        <w:spacing w:line="480" w:lineRule="auto"/>
        <w:jc w:val="center"/>
        <w:rPr>
          <w:rFonts w:ascii="Times New Roman" w:hAnsi="Times New Roman" w:cs="Times New Roman"/>
          <w:color w:val="000000" w:themeColor="text1"/>
          <w:szCs w:val="24"/>
          <w:lang w:val="en-US"/>
        </w:rPr>
      </w:pPr>
      <w:r w:rsidRPr="000437FE">
        <w:rPr>
          <w:rFonts w:ascii="Times New Roman" w:hAnsi="Times New Roman" w:cs="Times New Roman"/>
          <w:b/>
          <w:bCs/>
          <w:color w:val="000000" w:themeColor="text1"/>
          <w:szCs w:val="24"/>
        </w:rPr>
        <w:t>Assignment 1: The Role of Contract Law in the Tourism Industry</w:t>
      </w:r>
    </w:p>
    <w:p w14:paraId="2C8D5449" w14:textId="77777777" w:rsidR="00A76B20" w:rsidRPr="000437FE"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0437FE"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0437FE"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0437FE"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0437FE"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0437FE"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0437FE" w:rsidRDefault="00857685" w:rsidP="00013DBD">
      <w:pPr>
        <w:spacing w:line="480" w:lineRule="auto"/>
        <w:rPr>
          <w:rFonts w:ascii="Times New Roman" w:hAnsi="Times New Roman" w:cs="Times New Roman"/>
          <w:color w:val="000000" w:themeColor="text1"/>
          <w:szCs w:val="24"/>
          <w:lang w:val="en-US"/>
        </w:rPr>
      </w:pPr>
    </w:p>
    <w:p w14:paraId="15F16A60" w14:textId="77777777" w:rsidR="0009281E" w:rsidRPr="000437FE" w:rsidRDefault="0009281E" w:rsidP="00013DBD">
      <w:pPr>
        <w:spacing w:line="480" w:lineRule="auto"/>
        <w:rPr>
          <w:rFonts w:ascii="Times New Roman" w:hAnsi="Times New Roman" w:cs="Times New Roman"/>
          <w:color w:val="000000" w:themeColor="text1"/>
          <w:szCs w:val="24"/>
          <w:lang w:val="en-US"/>
        </w:rPr>
      </w:pPr>
    </w:p>
    <w:p w14:paraId="03B055A2" w14:textId="77777777" w:rsidR="0009281E" w:rsidRPr="000437FE" w:rsidRDefault="0009281E" w:rsidP="00013DBD">
      <w:pPr>
        <w:spacing w:line="480" w:lineRule="auto"/>
        <w:rPr>
          <w:rFonts w:ascii="Times New Roman" w:hAnsi="Times New Roman" w:cs="Times New Roman"/>
          <w:color w:val="000000" w:themeColor="text1"/>
          <w:szCs w:val="24"/>
          <w:lang w:val="en-US"/>
        </w:rPr>
      </w:pPr>
    </w:p>
    <w:p w14:paraId="2491E09E" w14:textId="77777777" w:rsidR="000F369F" w:rsidRPr="000437FE" w:rsidRDefault="000F369F" w:rsidP="005B0192">
      <w:pPr>
        <w:spacing w:line="480" w:lineRule="auto"/>
        <w:rPr>
          <w:rFonts w:ascii="Times New Roman" w:hAnsi="Times New Roman" w:cs="Times New Roman"/>
          <w:color w:val="000000" w:themeColor="text1"/>
          <w:szCs w:val="24"/>
          <w:lang w:val="en-US"/>
        </w:rPr>
      </w:pPr>
    </w:p>
    <w:p w14:paraId="25BE1823" w14:textId="307F7400" w:rsidR="00EA7FD8" w:rsidRPr="000437FE" w:rsidRDefault="00D33052" w:rsidP="005B0192">
      <w:pPr>
        <w:spacing w:line="480" w:lineRule="auto"/>
        <w:rPr>
          <w:rFonts w:ascii="Times New Roman" w:hAnsi="Times New Roman" w:cs="Times New Roman"/>
          <w:color w:val="000000" w:themeColor="text1"/>
          <w:szCs w:val="24"/>
        </w:rPr>
      </w:pPr>
      <w:bookmarkStart w:id="0" w:name="_Toc221201954"/>
      <w:r w:rsidRPr="000437FE">
        <w:rPr>
          <w:rStyle w:val="Heading1Char"/>
          <w:rFonts w:ascii="Times New Roman" w:hAnsi="Times New Roman" w:cs="Times New Roman"/>
          <w:b/>
          <w:bCs/>
          <w:color w:val="000000" w:themeColor="text1"/>
          <w:sz w:val="24"/>
          <w:szCs w:val="24"/>
        </w:rPr>
        <w:lastRenderedPageBreak/>
        <w:t>Abstract</w:t>
      </w:r>
      <w:bookmarkEnd w:id="0"/>
    </w:p>
    <w:p w14:paraId="0EAA8E41" w14:textId="7B911B81" w:rsidR="00EA7FD8" w:rsidRPr="000437FE" w:rsidRDefault="000F369F" w:rsidP="00EA7FD8">
      <w:pPr>
        <w:spacing w:line="480" w:lineRule="auto"/>
        <w:rPr>
          <w:rFonts w:ascii="Times New Roman" w:eastAsiaTheme="majorEastAsia" w:hAnsi="Times New Roman" w:cs="Times New Roman"/>
          <w:i/>
          <w:iCs/>
          <w:color w:val="000000" w:themeColor="text1"/>
          <w:kern w:val="0"/>
          <w:szCs w:val="24"/>
          <w:lang w:bidi="ar-SA"/>
          <w14:ligatures w14:val="none"/>
        </w:rPr>
      </w:pPr>
      <w:r w:rsidRPr="000437FE">
        <w:rPr>
          <w:rFonts w:ascii="Times New Roman" w:eastAsiaTheme="majorEastAsia" w:hAnsi="Times New Roman" w:cs="Times New Roman"/>
          <w:i/>
          <w:iCs/>
          <w:color w:val="000000" w:themeColor="text1"/>
          <w:kern w:val="0"/>
          <w:szCs w:val="24"/>
          <w:lang w:bidi="ar-SA"/>
          <w14:ligatures w14:val="none"/>
        </w:rPr>
        <w:t xml:space="preserve">Contract law provides the legal foundation for transactions within the tourism industry, ensuring that agreements between tourists and service providers are enforceable, transparent, and fair. Tourism services are typically purchased in advance and delivered at a later stage, often across national borders, which increases legal uncertainty and the risk of disputes. This study examines how contract law regulates tourism-related agreements by analysing the formation of contracts, the allocation of rights and obligations, and the remedies available in cases of breach. </w:t>
      </w:r>
      <w:proofErr w:type="gramStart"/>
      <w:r w:rsidRPr="000437FE">
        <w:rPr>
          <w:rFonts w:ascii="Times New Roman" w:eastAsiaTheme="majorEastAsia" w:hAnsi="Times New Roman" w:cs="Times New Roman"/>
          <w:i/>
          <w:iCs/>
          <w:color w:val="000000" w:themeColor="text1"/>
          <w:kern w:val="0"/>
          <w:szCs w:val="24"/>
          <w:lang w:bidi="ar-SA"/>
          <w14:ligatures w14:val="none"/>
        </w:rPr>
        <w:t>Particular attention</w:t>
      </w:r>
      <w:proofErr w:type="gramEnd"/>
      <w:r w:rsidRPr="000437FE">
        <w:rPr>
          <w:rFonts w:ascii="Times New Roman" w:eastAsiaTheme="majorEastAsia" w:hAnsi="Times New Roman" w:cs="Times New Roman"/>
          <w:i/>
          <w:iCs/>
          <w:color w:val="000000" w:themeColor="text1"/>
          <w:kern w:val="0"/>
          <w:szCs w:val="24"/>
          <w:lang w:bidi="ar-SA"/>
          <w14:ligatures w14:val="none"/>
        </w:rPr>
        <w:t xml:space="preserve"> is given to standard-form contracts, digital booking platforms, and package travel arrangements, which dominate modern tourism markets. The study further explores how consumer protection principles have influenced the interpretation of tourism contracts, especially in relation to unfair terms, misrepresentation, and liability exclusions. By reviewing legal scholarship, statutory instruments, and regulatory guidance, the paper demonstrates how contract law contributes to consumer confidence and business stability in tourism. The analysis highlights that contract law functions not only as a commercial mechanism but also as a protective framework that promotes trust, accountability, and sustainability within the global tourism industry.</w:t>
      </w:r>
    </w:p>
    <w:p w14:paraId="65E27B3C" w14:textId="77777777" w:rsidR="000F369F" w:rsidRPr="000437FE" w:rsidRDefault="000F369F" w:rsidP="00EA7FD8">
      <w:pPr>
        <w:spacing w:line="480" w:lineRule="auto"/>
        <w:rPr>
          <w:rFonts w:ascii="Times New Roman" w:eastAsiaTheme="majorEastAsia" w:hAnsi="Times New Roman" w:cs="Times New Roman"/>
          <w:color w:val="000000" w:themeColor="text1"/>
          <w:kern w:val="0"/>
          <w:szCs w:val="24"/>
          <w:lang w:bidi="ar-SA"/>
          <w14:ligatures w14:val="none"/>
        </w:rPr>
      </w:pPr>
    </w:p>
    <w:p w14:paraId="2B350F25" w14:textId="77777777" w:rsidR="000F369F" w:rsidRPr="000437FE" w:rsidRDefault="000F369F" w:rsidP="00EA7FD8">
      <w:pPr>
        <w:spacing w:line="480" w:lineRule="auto"/>
        <w:rPr>
          <w:rFonts w:ascii="Times New Roman" w:eastAsiaTheme="majorEastAsia" w:hAnsi="Times New Roman" w:cs="Times New Roman"/>
          <w:color w:val="000000" w:themeColor="text1"/>
          <w:kern w:val="0"/>
          <w:szCs w:val="24"/>
          <w:lang w:bidi="ar-SA"/>
          <w14:ligatures w14:val="none"/>
        </w:rPr>
      </w:pPr>
    </w:p>
    <w:p w14:paraId="715E436B" w14:textId="77777777" w:rsidR="000F369F" w:rsidRPr="000437FE" w:rsidRDefault="000F369F" w:rsidP="00EA7FD8">
      <w:pPr>
        <w:spacing w:line="480" w:lineRule="auto"/>
        <w:rPr>
          <w:rFonts w:ascii="Times New Roman" w:eastAsiaTheme="majorEastAsia" w:hAnsi="Times New Roman" w:cs="Times New Roman"/>
          <w:color w:val="000000" w:themeColor="text1"/>
          <w:kern w:val="0"/>
          <w:szCs w:val="24"/>
          <w:lang w:bidi="ar-SA"/>
          <w14:ligatures w14:val="none"/>
        </w:rPr>
      </w:pPr>
    </w:p>
    <w:p w14:paraId="58A86A76" w14:textId="77777777" w:rsidR="000F369F" w:rsidRPr="000437FE" w:rsidRDefault="000F369F" w:rsidP="00EA7FD8">
      <w:pPr>
        <w:spacing w:line="480" w:lineRule="auto"/>
        <w:rPr>
          <w:rFonts w:ascii="Times New Roman" w:eastAsiaTheme="majorEastAsia" w:hAnsi="Times New Roman" w:cs="Times New Roman"/>
          <w:color w:val="000000" w:themeColor="text1"/>
          <w:kern w:val="0"/>
          <w:szCs w:val="24"/>
          <w:lang w:bidi="ar-SA"/>
          <w14:ligatures w14:val="none"/>
        </w:rPr>
      </w:pPr>
    </w:p>
    <w:p w14:paraId="09594BFC" w14:textId="77777777" w:rsidR="000F369F" w:rsidRPr="000437FE" w:rsidRDefault="000F369F" w:rsidP="00EA7FD8">
      <w:pPr>
        <w:spacing w:line="480" w:lineRule="auto"/>
        <w:rPr>
          <w:rFonts w:ascii="Times New Roman" w:eastAsiaTheme="majorEastAsia" w:hAnsi="Times New Roman" w:cs="Times New Roman"/>
          <w:color w:val="000000" w:themeColor="text1"/>
          <w:kern w:val="0"/>
          <w:szCs w:val="24"/>
          <w:lang w:bidi="ar-SA"/>
          <w14:ligatures w14:val="none"/>
        </w:rPr>
      </w:pPr>
    </w:p>
    <w:p w14:paraId="33D266FB" w14:textId="77777777" w:rsidR="000F369F" w:rsidRPr="00EA7FD8" w:rsidRDefault="000F369F" w:rsidP="00EA7FD8">
      <w:pPr>
        <w:spacing w:line="480" w:lineRule="auto"/>
        <w:rPr>
          <w:rFonts w:ascii="Times New Roman" w:eastAsiaTheme="majorEastAsia" w:hAnsi="Times New Roman" w:cs="Times New Roman"/>
          <w:color w:val="000000" w:themeColor="text1"/>
          <w:kern w:val="0"/>
          <w:szCs w:val="24"/>
          <w:lang w:bidi="ar-SA"/>
          <w14:ligatures w14:val="none"/>
        </w:rPr>
      </w:pPr>
    </w:p>
    <w:sdt>
      <w:sdtPr>
        <w:rPr>
          <w:rFonts w:ascii="Times New Roman" w:hAnsi="Times New Roman" w:cs="Times New Roman"/>
          <w:color w:val="000000" w:themeColor="text1"/>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EDE004A" w:rsidR="004D7D13" w:rsidRPr="000437FE" w:rsidRDefault="004D7D13" w:rsidP="00EA7FD8">
          <w:pPr>
            <w:pStyle w:val="TOCHeading"/>
            <w:spacing w:line="480" w:lineRule="auto"/>
            <w:rPr>
              <w:rFonts w:ascii="Times New Roman" w:hAnsi="Times New Roman" w:cs="Times New Roman"/>
              <w:color w:val="EE0000"/>
              <w:sz w:val="24"/>
              <w:szCs w:val="24"/>
            </w:rPr>
          </w:pPr>
          <w:r w:rsidRPr="000437FE">
            <w:rPr>
              <w:rFonts w:ascii="Times New Roman" w:hAnsi="Times New Roman" w:cs="Times New Roman"/>
              <w:color w:val="EE0000"/>
              <w:sz w:val="24"/>
              <w:szCs w:val="24"/>
            </w:rPr>
            <w:t>Contents</w:t>
          </w:r>
        </w:p>
        <w:p w14:paraId="7191005F" w14:textId="2E0B9E02" w:rsidR="000437FE" w:rsidRPr="000437FE" w:rsidRDefault="004D7D13">
          <w:pPr>
            <w:pStyle w:val="TOC1"/>
            <w:tabs>
              <w:tab w:val="right" w:leader="dot" w:pos="9350"/>
            </w:tabs>
            <w:rPr>
              <w:rFonts w:cstheme="minorBidi"/>
              <w:noProof/>
              <w:color w:val="EE0000"/>
              <w:kern w:val="2"/>
              <w:sz w:val="24"/>
              <w:szCs w:val="21"/>
              <w:lang w:val="en-GB" w:eastAsia="en-GB" w:bidi="hi-IN"/>
              <w14:ligatures w14:val="standardContextual"/>
            </w:rPr>
          </w:pPr>
          <w:r w:rsidRPr="000437FE">
            <w:rPr>
              <w:rFonts w:ascii="Times New Roman" w:hAnsi="Times New Roman"/>
              <w:color w:val="EE0000"/>
              <w:sz w:val="24"/>
              <w:szCs w:val="24"/>
            </w:rPr>
            <w:fldChar w:fldCharType="begin"/>
          </w:r>
          <w:r w:rsidRPr="000437FE">
            <w:rPr>
              <w:rFonts w:ascii="Times New Roman" w:hAnsi="Times New Roman"/>
              <w:color w:val="EE0000"/>
              <w:sz w:val="24"/>
              <w:szCs w:val="24"/>
            </w:rPr>
            <w:instrText xml:space="preserve"> TOC \o "1-3" \h \z \u </w:instrText>
          </w:r>
          <w:r w:rsidRPr="000437FE">
            <w:rPr>
              <w:rFonts w:ascii="Times New Roman" w:hAnsi="Times New Roman"/>
              <w:color w:val="EE0000"/>
              <w:sz w:val="24"/>
              <w:szCs w:val="24"/>
            </w:rPr>
            <w:fldChar w:fldCharType="separate"/>
          </w:r>
          <w:hyperlink w:anchor="_Toc221201954" w:history="1">
            <w:r w:rsidR="000437FE" w:rsidRPr="000437FE">
              <w:rPr>
                <w:rStyle w:val="Hyperlink"/>
                <w:rFonts w:ascii="Times New Roman" w:hAnsi="Times New Roman"/>
                <w:noProof/>
                <w:color w:val="EE0000"/>
              </w:rPr>
              <w:t>Abstract</w:t>
            </w:r>
            <w:r w:rsidR="000437FE" w:rsidRPr="000437FE">
              <w:rPr>
                <w:noProof/>
                <w:webHidden/>
                <w:color w:val="EE0000"/>
              </w:rPr>
              <w:tab/>
            </w:r>
            <w:r w:rsidR="000437FE" w:rsidRPr="000437FE">
              <w:rPr>
                <w:noProof/>
                <w:webHidden/>
                <w:color w:val="EE0000"/>
              </w:rPr>
              <w:fldChar w:fldCharType="begin"/>
            </w:r>
            <w:r w:rsidR="000437FE" w:rsidRPr="000437FE">
              <w:rPr>
                <w:noProof/>
                <w:webHidden/>
                <w:color w:val="EE0000"/>
              </w:rPr>
              <w:instrText xml:space="preserve"> PAGEREF _Toc221201954 \h </w:instrText>
            </w:r>
            <w:r w:rsidR="000437FE" w:rsidRPr="000437FE">
              <w:rPr>
                <w:noProof/>
                <w:webHidden/>
                <w:color w:val="EE0000"/>
              </w:rPr>
            </w:r>
            <w:r w:rsidR="000437FE" w:rsidRPr="000437FE">
              <w:rPr>
                <w:noProof/>
                <w:webHidden/>
                <w:color w:val="EE0000"/>
              </w:rPr>
              <w:fldChar w:fldCharType="separate"/>
            </w:r>
            <w:r w:rsidR="000437FE" w:rsidRPr="000437FE">
              <w:rPr>
                <w:noProof/>
                <w:webHidden/>
                <w:color w:val="EE0000"/>
              </w:rPr>
              <w:t>2</w:t>
            </w:r>
            <w:r w:rsidR="000437FE" w:rsidRPr="000437FE">
              <w:rPr>
                <w:noProof/>
                <w:webHidden/>
                <w:color w:val="EE0000"/>
              </w:rPr>
              <w:fldChar w:fldCharType="end"/>
            </w:r>
          </w:hyperlink>
        </w:p>
        <w:p w14:paraId="62C82D21" w14:textId="7FCE02C8" w:rsidR="000437FE" w:rsidRPr="000437FE" w:rsidRDefault="000437FE">
          <w:pPr>
            <w:pStyle w:val="TOC1"/>
            <w:tabs>
              <w:tab w:val="right" w:leader="dot" w:pos="9350"/>
            </w:tabs>
            <w:rPr>
              <w:rFonts w:cstheme="minorBidi"/>
              <w:noProof/>
              <w:color w:val="EE0000"/>
              <w:kern w:val="2"/>
              <w:sz w:val="24"/>
              <w:szCs w:val="21"/>
              <w:lang w:val="en-GB" w:eastAsia="en-GB" w:bidi="hi-IN"/>
              <w14:ligatures w14:val="standardContextual"/>
            </w:rPr>
          </w:pPr>
          <w:hyperlink w:anchor="_Toc221201955" w:history="1">
            <w:r w:rsidRPr="000437FE">
              <w:rPr>
                <w:rStyle w:val="Hyperlink"/>
                <w:rFonts w:ascii="Times New Roman" w:hAnsi="Times New Roman"/>
                <w:noProof/>
                <w:color w:val="EE0000"/>
              </w:rPr>
              <w:t>1.Introduction</w:t>
            </w:r>
            <w:r w:rsidRPr="000437FE">
              <w:rPr>
                <w:noProof/>
                <w:webHidden/>
                <w:color w:val="EE0000"/>
              </w:rPr>
              <w:tab/>
            </w:r>
            <w:r w:rsidRPr="000437FE">
              <w:rPr>
                <w:noProof/>
                <w:webHidden/>
                <w:color w:val="EE0000"/>
              </w:rPr>
              <w:fldChar w:fldCharType="begin"/>
            </w:r>
            <w:r w:rsidRPr="000437FE">
              <w:rPr>
                <w:noProof/>
                <w:webHidden/>
                <w:color w:val="EE0000"/>
              </w:rPr>
              <w:instrText xml:space="preserve"> PAGEREF _Toc221201955 \h </w:instrText>
            </w:r>
            <w:r w:rsidRPr="000437FE">
              <w:rPr>
                <w:noProof/>
                <w:webHidden/>
                <w:color w:val="EE0000"/>
              </w:rPr>
            </w:r>
            <w:r w:rsidRPr="000437FE">
              <w:rPr>
                <w:noProof/>
                <w:webHidden/>
                <w:color w:val="EE0000"/>
              </w:rPr>
              <w:fldChar w:fldCharType="separate"/>
            </w:r>
            <w:r w:rsidRPr="000437FE">
              <w:rPr>
                <w:noProof/>
                <w:webHidden/>
                <w:color w:val="EE0000"/>
              </w:rPr>
              <w:t>4</w:t>
            </w:r>
            <w:r w:rsidRPr="000437FE">
              <w:rPr>
                <w:noProof/>
                <w:webHidden/>
                <w:color w:val="EE0000"/>
              </w:rPr>
              <w:fldChar w:fldCharType="end"/>
            </w:r>
          </w:hyperlink>
        </w:p>
        <w:p w14:paraId="34782521" w14:textId="4AF2BB27" w:rsidR="000437FE" w:rsidRPr="000437FE" w:rsidRDefault="000437FE">
          <w:pPr>
            <w:pStyle w:val="TOC1"/>
            <w:tabs>
              <w:tab w:val="right" w:leader="dot" w:pos="9350"/>
            </w:tabs>
            <w:rPr>
              <w:rFonts w:cstheme="minorBidi"/>
              <w:noProof/>
              <w:color w:val="EE0000"/>
              <w:kern w:val="2"/>
              <w:sz w:val="24"/>
              <w:szCs w:val="21"/>
              <w:lang w:val="en-GB" w:eastAsia="en-GB" w:bidi="hi-IN"/>
              <w14:ligatures w14:val="standardContextual"/>
            </w:rPr>
          </w:pPr>
          <w:hyperlink w:anchor="_Toc221201956" w:history="1">
            <w:r w:rsidRPr="000437FE">
              <w:rPr>
                <w:rStyle w:val="Hyperlink"/>
                <w:rFonts w:ascii="Times New Roman" w:hAnsi="Times New Roman"/>
                <w:noProof/>
                <w:color w:val="EE0000"/>
              </w:rPr>
              <w:t>2. Literature Review</w:t>
            </w:r>
            <w:r w:rsidRPr="000437FE">
              <w:rPr>
                <w:noProof/>
                <w:webHidden/>
                <w:color w:val="EE0000"/>
              </w:rPr>
              <w:tab/>
            </w:r>
            <w:r w:rsidRPr="000437FE">
              <w:rPr>
                <w:noProof/>
                <w:webHidden/>
                <w:color w:val="EE0000"/>
              </w:rPr>
              <w:fldChar w:fldCharType="begin"/>
            </w:r>
            <w:r w:rsidRPr="000437FE">
              <w:rPr>
                <w:noProof/>
                <w:webHidden/>
                <w:color w:val="EE0000"/>
              </w:rPr>
              <w:instrText xml:space="preserve"> PAGEREF _Toc221201956 \h </w:instrText>
            </w:r>
            <w:r w:rsidRPr="000437FE">
              <w:rPr>
                <w:noProof/>
                <w:webHidden/>
                <w:color w:val="EE0000"/>
              </w:rPr>
            </w:r>
            <w:r w:rsidRPr="000437FE">
              <w:rPr>
                <w:noProof/>
                <w:webHidden/>
                <w:color w:val="EE0000"/>
              </w:rPr>
              <w:fldChar w:fldCharType="separate"/>
            </w:r>
            <w:r w:rsidRPr="000437FE">
              <w:rPr>
                <w:noProof/>
                <w:webHidden/>
                <w:color w:val="EE0000"/>
              </w:rPr>
              <w:t>6</w:t>
            </w:r>
            <w:r w:rsidRPr="000437FE">
              <w:rPr>
                <w:noProof/>
                <w:webHidden/>
                <w:color w:val="EE0000"/>
              </w:rPr>
              <w:fldChar w:fldCharType="end"/>
            </w:r>
          </w:hyperlink>
        </w:p>
        <w:p w14:paraId="00352A2D" w14:textId="4718D038" w:rsidR="000437FE" w:rsidRPr="000437FE" w:rsidRDefault="000437FE">
          <w:pPr>
            <w:pStyle w:val="TOC1"/>
            <w:tabs>
              <w:tab w:val="right" w:leader="dot" w:pos="9350"/>
            </w:tabs>
            <w:rPr>
              <w:rFonts w:cstheme="minorBidi"/>
              <w:noProof/>
              <w:color w:val="EE0000"/>
              <w:kern w:val="2"/>
              <w:sz w:val="24"/>
              <w:szCs w:val="21"/>
              <w:lang w:val="en-GB" w:eastAsia="en-GB" w:bidi="hi-IN"/>
              <w14:ligatures w14:val="standardContextual"/>
            </w:rPr>
          </w:pPr>
          <w:hyperlink w:anchor="_Toc221201957" w:history="1">
            <w:r w:rsidRPr="000437FE">
              <w:rPr>
                <w:rStyle w:val="Hyperlink"/>
                <w:rFonts w:ascii="Times New Roman" w:hAnsi="Times New Roman"/>
                <w:noProof/>
                <w:color w:val="EE0000"/>
              </w:rPr>
              <w:t>3 Methodology</w:t>
            </w:r>
            <w:r w:rsidRPr="000437FE">
              <w:rPr>
                <w:noProof/>
                <w:webHidden/>
                <w:color w:val="EE0000"/>
              </w:rPr>
              <w:tab/>
            </w:r>
            <w:r w:rsidRPr="000437FE">
              <w:rPr>
                <w:noProof/>
                <w:webHidden/>
                <w:color w:val="EE0000"/>
              </w:rPr>
              <w:fldChar w:fldCharType="begin"/>
            </w:r>
            <w:r w:rsidRPr="000437FE">
              <w:rPr>
                <w:noProof/>
                <w:webHidden/>
                <w:color w:val="EE0000"/>
              </w:rPr>
              <w:instrText xml:space="preserve"> PAGEREF _Toc221201957 \h </w:instrText>
            </w:r>
            <w:r w:rsidRPr="000437FE">
              <w:rPr>
                <w:noProof/>
                <w:webHidden/>
                <w:color w:val="EE0000"/>
              </w:rPr>
            </w:r>
            <w:r w:rsidRPr="000437FE">
              <w:rPr>
                <w:noProof/>
                <w:webHidden/>
                <w:color w:val="EE0000"/>
              </w:rPr>
              <w:fldChar w:fldCharType="separate"/>
            </w:r>
            <w:r w:rsidRPr="000437FE">
              <w:rPr>
                <w:noProof/>
                <w:webHidden/>
                <w:color w:val="EE0000"/>
              </w:rPr>
              <w:t>11</w:t>
            </w:r>
            <w:r w:rsidRPr="000437FE">
              <w:rPr>
                <w:noProof/>
                <w:webHidden/>
                <w:color w:val="EE0000"/>
              </w:rPr>
              <w:fldChar w:fldCharType="end"/>
            </w:r>
          </w:hyperlink>
        </w:p>
        <w:p w14:paraId="129FA2E5" w14:textId="6EAB7FFE" w:rsidR="000437FE" w:rsidRPr="000437FE" w:rsidRDefault="000437FE">
          <w:pPr>
            <w:pStyle w:val="TOC1"/>
            <w:tabs>
              <w:tab w:val="right" w:leader="dot" w:pos="9350"/>
            </w:tabs>
            <w:rPr>
              <w:rFonts w:cstheme="minorBidi"/>
              <w:noProof/>
              <w:color w:val="EE0000"/>
              <w:kern w:val="2"/>
              <w:sz w:val="24"/>
              <w:szCs w:val="21"/>
              <w:lang w:val="en-GB" w:eastAsia="en-GB" w:bidi="hi-IN"/>
              <w14:ligatures w14:val="standardContextual"/>
            </w:rPr>
          </w:pPr>
          <w:hyperlink w:anchor="_Toc221201958" w:history="1">
            <w:r w:rsidRPr="000437FE">
              <w:rPr>
                <w:rStyle w:val="Hyperlink"/>
                <w:rFonts w:ascii="Times New Roman" w:hAnsi="Times New Roman"/>
                <w:noProof/>
                <w:color w:val="EE0000"/>
              </w:rPr>
              <w:t>4 Finding</w:t>
            </w:r>
            <w:r w:rsidRPr="000437FE">
              <w:rPr>
                <w:noProof/>
                <w:webHidden/>
                <w:color w:val="EE0000"/>
              </w:rPr>
              <w:tab/>
            </w:r>
            <w:r w:rsidRPr="000437FE">
              <w:rPr>
                <w:noProof/>
                <w:webHidden/>
                <w:color w:val="EE0000"/>
              </w:rPr>
              <w:fldChar w:fldCharType="begin"/>
            </w:r>
            <w:r w:rsidRPr="000437FE">
              <w:rPr>
                <w:noProof/>
                <w:webHidden/>
                <w:color w:val="EE0000"/>
              </w:rPr>
              <w:instrText xml:space="preserve"> PAGEREF _Toc221201958 \h </w:instrText>
            </w:r>
            <w:r w:rsidRPr="000437FE">
              <w:rPr>
                <w:noProof/>
                <w:webHidden/>
                <w:color w:val="EE0000"/>
              </w:rPr>
            </w:r>
            <w:r w:rsidRPr="000437FE">
              <w:rPr>
                <w:noProof/>
                <w:webHidden/>
                <w:color w:val="EE0000"/>
              </w:rPr>
              <w:fldChar w:fldCharType="separate"/>
            </w:r>
            <w:r w:rsidRPr="000437FE">
              <w:rPr>
                <w:noProof/>
                <w:webHidden/>
                <w:color w:val="EE0000"/>
              </w:rPr>
              <w:t>15</w:t>
            </w:r>
            <w:r w:rsidRPr="000437FE">
              <w:rPr>
                <w:noProof/>
                <w:webHidden/>
                <w:color w:val="EE0000"/>
              </w:rPr>
              <w:fldChar w:fldCharType="end"/>
            </w:r>
          </w:hyperlink>
        </w:p>
        <w:p w14:paraId="1138D48E" w14:textId="50146812" w:rsidR="000437FE" w:rsidRPr="000437FE" w:rsidRDefault="000437FE">
          <w:pPr>
            <w:pStyle w:val="TOC1"/>
            <w:tabs>
              <w:tab w:val="right" w:leader="dot" w:pos="9350"/>
            </w:tabs>
            <w:rPr>
              <w:rFonts w:cstheme="minorBidi"/>
              <w:noProof/>
              <w:color w:val="EE0000"/>
              <w:kern w:val="2"/>
              <w:sz w:val="24"/>
              <w:szCs w:val="21"/>
              <w:lang w:val="en-GB" w:eastAsia="en-GB" w:bidi="hi-IN"/>
              <w14:ligatures w14:val="standardContextual"/>
            </w:rPr>
          </w:pPr>
          <w:hyperlink w:anchor="_Toc221201959" w:history="1">
            <w:r w:rsidRPr="000437FE">
              <w:rPr>
                <w:rStyle w:val="Hyperlink"/>
                <w:rFonts w:ascii="Times New Roman" w:hAnsi="Times New Roman"/>
                <w:noProof/>
                <w:color w:val="EE0000"/>
              </w:rPr>
              <w:t>5. Discussion</w:t>
            </w:r>
            <w:r w:rsidRPr="000437FE">
              <w:rPr>
                <w:noProof/>
                <w:webHidden/>
                <w:color w:val="EE0000"/>
              </w:rPr>
              <w:tab/>
            </w:r>
            <w:r w:rsidRPr="000437FE">
              <w:rPr>
                <w:noProof/>
                <w:webHidden/>
                <w:color w:val="EE0000"/>
              </w:rPr>
              <w:fldChar w:fldCharType="begin"/>
            </w:r>
            <w:r w:rsidRPr="000437FE">
              <w:rPr>
                <w:noProof/>
                <w:webHidden/>
                <w:color w:val="EE0000"/>
              </w:rPr>
              <w:instrText xml:space="preserve"> PAGEREF _Toc221201959 \h </w:instrText>
            </w:r>
            <w:r w:rsidRPr="000437FE">
              <w:rPr>
                <w:noProof/>
                <w:webHidden/>
                <w:color w:val="EE0000"/>
              </w:rPr>
            </w:r>
            <w:r w:rsidRPr="000437FE">
              <w:rPr>
                <w:noProof/>
                <w:webHidden/>
                <w:color w:val="EE0000"/>
              </w:rPr>
              <w:fldChar w:fldCharType="separate"/>
            </w:r>
            <w:r w:rsidRPr="000437FE">
              <w:rPr>
                <w:noProof/>
                <w:webHidden/>
                <w:color w:val="EE0000"/>
              </w:rPr>
              <w:t>17</w:t>
            </w:r>
            <w:r w:rsidRPr="000437FE">
              <w:rPr>
                <w:noProof/>
                <w:webHidden/>
                <w:color w:val="EE0000"/>
              </w:rPr>
              <w:fldChar w:fldCharType="end"/>
            </w:r>
          </w:hyperlink>
        </w:p>
        <w:p w14:paraId="4C3F179E" w14:textId="458813BB" w:rsidR="000437FE" w:rsidRPr="000437FE" w:rsidRDefault="000437FE">
          <w:pPr>
            <w:pStyle w:val="TOC1"/>
            <w:tabs>
              <w:tab w:val="right" w:leader="dot" w:pos="9350"/>
            </w:tabs>
            <w:rPr>
              <w:rFonts w:cstheme="minorBidi"/>
              <w:noProof/>
              <w:color w:val="EE0000"/>
              <w:kern w:val="2"/>
              <w:sz w:val="24"/>
              <w:szCs w:val="21"/>
              <w:lang w:val="en-GB" w:eastAsia="en-GB" w:bidi="hi-IN"/>
              <w14:ligatures w14:val="standardContextual"/>
            </w:rPr>
          </w:pPr>
          <w:hyperlink w:anchor="_Toc221201960" w:history="1">
            <w:r w:rsidRPr="000437FE">
              <w:rPr>
                <w:rStyle w:val="Hyperlink"/>
                <w:rFonts w:ascii="Times New Roman" w:hAnsi="Times New Roman"/>
                <w:noProof/>
                <w:color w:val="EE0000"/>
              </w:rPr>
              <w:t>6. Conclusion</w:t>
            </w:r>
            <w:r w:rsidRPr="000437FE">
              <w:rPr>
                <w:noProof/>
                <w:webHidden/>
                <w:color w:val="EE0000"/>
              </w:rPr>
              <w:tab/>
            </w:r>
            <w:r w:rsidRPr="000437FE">
              <w:rPr>
                <w:noProof/>
                <w:webHidden/>
                <w:color w:val="EE0000"/>
              </w:rPr>
              <w:fldChar w:fldCharType="begin"/>
            </w:r>
            <w:r w:rsidRPr="000437FE">
              <w:rPr>
                <w:noProof/>
                <w:webHidden/>
                <w:color w:val="EE0000"/>
              </w:rPr>
              <w:instrText xml:space="preserve"> PAGEREF _Toc221201960 \h </w:instrText>
            </w:r>
            <w:r w:rsidRPr="000437FE">
              <w:rPr>
                <w:noProof/>
                <w:webHidden/>
                <w:color w:val="EE0000"/>
              </w:rPr>
            </w:r>
            <w:r w:rsidRPr="000437FE">
              <w:rPr>
                <w:noProof/>
                <w:webHidden/>
                <w:color w:val="EE0000"/>
              </w:rPr>
              <w:fldChar w:fldCharType="separate"/>
            </w:r>
            <w:r w:rsidRPr="000437FE">
              <w:rPr>
                <w:noProof/>
                <w:webHidden/>
                <w:color w:val="EE0000"/>
              </w:rPr>
              <w:t>19</w:t>
            </w:r>
            <w:r w:rsidRPr="000437FE">
              <w:rPr>
                <w:noProof/>
                <w:webHidden/>
                <w:color w:val="EE0000"/>
              </w:rPr>
              <w:fldChar w:fldCharType="end"/>
            </w:r>
          </w:hyperlink>
        </w:p>
        <w:p w14:paraId="2B79F819" w14:textId="469C38D9" w:rsidR="000437FE" w:rsidRPr="000437FE" w:rsidRDefault="000437FE">
          <w:pPr>
            <w:pStyle w:val="TOC1"/>
            <w:tabs>
              <w:tab w:val="right" w:leader="dot" w:pos="9350"/>
            </w:tabs>
            <w:rPr>
              <w:rFonts w:cstheme="minorBidi"/>
              <w:noProof/>
              <w:color w:val="EE0000"/>
              <w:kern w:val="2"/>
              <w:sz w:val="24"/>
              <w:szCs w:val="21"/>
              <w:lang w:val="en-GB" w:eastAsia="en-GB" w:bidi="hi-IN"/>
              <w14:ligatures w14:val="standardContextual"/>
            </w:rPr>
          </w:pPr>
          <w:hyperlink w:anchor="_Toc221201961" w:history="1">
            <w:r w:rsidRPr="000437FE">
              <w:rPr>
                <w:rStyle w:val="Hyperlink"/>
                <w:rFonts w:ascii="Times New Roman" w:hAnsi="Times New Roman"/>
                <w:noProof/>
                <w:color w:val="EE0000"/>
              </w:rPr>
              <w:t>Reference List</w:t>
            </w:r>
            <w:r w:rsidRPr="000437FE">
              <w:rPr>
                <w:noProof/>
                <w:webHidden/>
                <w:color w:val="EE0000"/>
              </w:rPr>
              <w:tab/>
            </w:r>
            <w:r w:rsidRPr="000437FE">
              <w:rPr>
                <w:noProof/>
                <w:webHidden/>
                <w:color w:val="EE0000"/>
              </w:rPr>
              <w:fldChar w:fldCharType="begin"/>
            </w:r>
            <w:r w:rsidRPr="000437FE">
              <w:rPr>
                <w:noProof/>
                <w:webHidden/>
                <w:color w:val="EE0000"/>
              </w:rPr>
              <w:instrText xml:space="preserve"> PAGEREF _Toc221201961 \h </w:instrText>
            </w:r>
            <w:r w:rsidRPr="000437FE">
              <w:rPr>
                <w:noProof/>
                <w:webHidden/>
                <w:color w:val="EE0000"/>
              </w:rPr>
            </w:r>
            <w:r w:rsidRPr="000437FE">
              <w:rPr>
                <w:noProof/>
                <w:webHidden/>
                <w:color w:val="EE0000"/>
              </w:rPr>
              <w:fldChar w:fldCharType="separate"/>
            </w:r>
            <w:r w:rsidRPr="000437FE">
              <w:rPr>
                <w:noProof/>
                <w:webHidden/>
                <w:color w:val="EE0000"/>
              </w:rPr>
              <w:t>20</w:t>
            </w:r>
            <w:r w:rsidRPr="000437FE">
              <w:rPr>
                <w:noProof/>
                <w:webHidden/>
                <w:color w:val="EE0000"/>
              </w:rPr>
              <w:fldChar w:fldCharType="end"/>
            </w:r>
          </w:hyperlink>
        </w:p>
        <w:p w14:paraId="646EF9D8" w14:textId="012FB220" w:rsidR="004D7D13" w:rsidRPr="000437FE" w:rsidRDefault="004D7D13" w:rsidP="00013DBD">
          <w:pPr>
            <w:spacing w:line="480" w:lineRule="auto"/>
            <w:rPr>
              <w:rFonts w:ascii="Times New Roman" w:hAnsi="Times New Roman" w:cs="Times New Roman"/>
              <w:color w:val="000000" w:themeColor="text1"/>
              <w:szCs w:val="24"/>
            </w:rPr>
          </w:pPr>
          <w:r w:rsidRPr="000437FE">
            <w:rPr>
              <w:rFonts w:ascii="Times New Roman" w:hAnsi="Times New Roman" w:cs="Times New Roman"/>
              <w:noProof/>
              <w:color w:val="EE0000"/>
              <w:szCs w:val="24"/>
            </w:rPr>
            <w:fldChar w:fldCharType="end"/>
          </w:r>
        </w:p>
      </w:sdtContent>
    </w:sdt>
    <w:p w14:paraId="1EDA022C" w14:textId="77777777" w:rsidR="004D7D13" w:rsidRPr="000437FE" w:rsidRDefault="004D7D13" w:rsidP="00013DBD">
      <w:pPr>
        <w:spacing w:line="480" w:lineRule="auto"/>
        <w:rPr>
          <w:rFonts w:ascii="Times New Roman" w:hAnsi="Times New Roman" w:cs="Times New Roman"/>
          <w:color w:val="000000" w:themeColor="text1"/>
          <w:szCs w:val="24"/>
        </w:rPr>
      </w:pPr>
    </w:p>
    <w:p w14:paraId="19B15F5F" w14:textId="77777777" w:rsidR="0095171B" w:rsidRPr="000437FE" w:rsidRDefault="0095171B" w:rsidP="00013DBD">
      <w:pPr>
        <w:spacing w:line="480" w:lineRule="auto"/>
        <w:rPr>
          <w:rFonts w:ascii="Times New Roman" w:hAnsi="Times New Roman" w:cs="Times New Roman"/>
          <w:color w:val="000000" w:themeColor="text1"/>
          <w:szCs w:val="24"/>
        </w:rPr>
      </w:pPr>
    </w:p>
    <w:p w14:paraId="73636B03" w14:textId="77777777" w:rsidR="0095171B" w:rsidRPr="000437FE" w:rsidRDefault="0095171B" w:rsidP="00013DBD">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br w:type="page"/>
      </w:r>
    </w:p>
    <w:p w14:paraId="48512045" w14:textId="2774FE42" w:rsidR="00B06124" w:rsidRPr="000437FE" w:rsidRDefault="000E04F4" w:rsidP="00B06124">
      <w:pPr>
        <w:spacing w:line="480" w:lineRule="auto"/>
        <w:rPr>
          <w:rFonts w:ascii="Times New Roman" w:hAnsi="Times New Roman" w:cs="Times New Roman"/>
          <w:color w:val="000000" w:themeColor="text1"/>
          <w:szCs w:val="24"/>
        </w:rPr>
      </w:pPr>
      <w:bookmarkStart w:id="1" w:name="_Toc221201955"/>
      <w:r w:rsidRPr="000437FE">
        <w:rPr>
          <w:rStyle w:val="Heading1Char"/>
          <w:rFonts w:ascii="Times New Roman" w:hAnsi="Times New Roman" w:cs="Times New Roman"/>
          <w:b/>
          <w:bCs/>
          <w:color w:val="000000" w:themeColor="text1"/>
          <w:sz w:val="24"/>
          <w:szCs w:val="24"/>
        </w:rPr>
        <w:lastRenderedPageBreak/>
        <w:t>1</w:t>
      </w:r>
      <w:r w:rsidR="004D7D13" w:rsidRPr="000437FE">
        <w:rPr>
          <w:rStyle w:val="Heading1Char"/>
          <w:rFonts w:ascii="Times New Roman" w:hAnsi="Times New Roman" w:cs="Times New Roman"/>
          <w:b/>
          <w:bCs/>
          <w:color w:val="000000" w:themeColor="text1"/>
          <w:sz w:val="24"/>
          <w:szCs w:val="24"/>
        </w:rPr>
        <w:t>.</w:t>
      </w:r>
      <w:r w:rsidR="0095171B" w:rsidRPr="000437FE">
        <w:rPr>
          <w:rStyle w:val="Heading1Char"/>
          <w:rFonts w:ascii="Times New Roman" w:hAnsi="Times New Roman" w:cs="Times New Roman"/>
          <w:b/>
          <w:bCs/>
          <w:color w:val="000000" w:themeColor="text1"/>
          <w:sz w:val="24"/>
          <w:szCs w:val="24"/>
        </w:rPr>
        <w:t>Introduction</w:t>
      </w:r>
      <w:bookmarkEnd w:id="1"/>
      <w:r w:rsidR="0095171B" w:rsidRPr="000437FE">
        <w:rPr>
          <w:rStyle w:val="Heading1Char"/>
          <w:rFonts w:ascii="Times New Roman" w:hAnsi="Times New Roman" w:cs="Times New Roman"/>
          <w:color w:val="000000" w:themeColor="text1"/>
          <w:sz w:val="24"/>
          <w:szCs w:val="24"/>
        </w:rPr>
        <w:t xml:space="preserve"> </w:t>
      </w:r>
    </w:p>
    <w:p w14:paraId="59B4FFB1" w14:textId="77777777" w:rsidR="000F369F" w:rsidRPr="000F369F" w:rsidRDefault="000F369F" w:rsidP="000F369F">
      <w:pPr>
        <w:spacing w:line="480" w:lineRule="auto"/>
        <w:rPr>
          <w:rFonts w:ascii="Times New Roman" w:hAnsi="Times New Roman" w:cs="Times New Roman"/>
          <w:color w:val="000000" w:themeColor="text1"/>
          <w:szCs w:val="24"/>
        </w:rPr>
      </w:pPr>
      <w:r w:rsidRPr="000F369F">
        <w:rPr>
          <w:rFonts w:ascii="Times New Roman" w:hAnsi="Times New Roman" w:cs="Times New Roman"/>
          <w:color w:val="000000" w:themeColor="text1"/>
          <w:szCs w:val="24"/>
        </w:rPr>
        <w:t>The tourism industry is a globally significant sector that involves complex legal relationships between consumers and a wide range of service providers, including airlines, hotels, tour operators, and online travel platforms. These relationships are primarily governed by contract law, which determines how agreements are formed, interpreted, and enforced. Unlike the sale of physical goods, tourism transactions usually involve intangible services that are consumed at a future date, making contractual certainty essential for both parties (Dickerson, 2021). As a result, contract law plays a crucial role in managing expectations, allocating risk, and resolving disputes in tourism.</w:t>
      </w:r>
    </w:p>
    <w:p w14:paraId="0FC217F9" w14:textId="77777777" w:rsidR="000F369F" w:rsidRPr="000F369F" w:rsidRDefault="000F369F" w:rsidP="000F369F">
      <w:pPr>
        <w:spacing w:line="480" w:lineRule="auto"/>
        <w:rPr>
          <w:rFonts w:ascii="Times New Roman" w:hAnsi="Times New Roman" w:cs="Times New Roman"/>
          <w:color w:val="000000" w:themeColor="text1"/>
          <w:szCs w:val="24"/>
        </w:rPr>
      </w:pPr>
      <w:r w:rsidRPr="000F369F">
        <w:rPr>
          <w:rFonts w:ascii="Times New Roman" w:hAnsi="Times New Roman" w:cs="Times New Roman"/>
          <w:color w:val="000000" w:themeColor="text1"/>
          <w:szCs w:val="24"/>
        </w:rPr>
        <w:t>In tourism, contracts arise in various forms, such as accommodation bookings, transport agreements, and package holiday contracts. These contracts often incorporate standard terms and conditions drafted by service providers, leaving consumers with limited bargaining power. Legal scholars have argued that this imbalance increases the likelihood of unfair contract terms, particularly in relation to cancellation policies, liability exclusions, and refund rights (Weatherill, 2020). Consequently, courts and regulators have increasingly intervened to ensure that tourism contracts comply with broader consumer protection principles.</w:t>
      </w:r>
    </w:p>
    <w:p w14:paraId="241E69CD" w14:textId="77777777" w:rsidR="000F369F" w:rsidRPr="000F369F" w:rsidRDefault="000F369F" w:rsidP="000F369F">
      <w:pPr>
        <w:spacing w:line="480" w:lineRule="auto"/>
        <w:rPr>
          <w:rFonts w:ascii="Times New Roman" w:hAnsi="Times New Roman" w:cs="Times New Roman"/>
          <w:color w:val="000000" w:themeColor="text1"/>
          <w:szCs w:val="24"/>
        </w:rPr>
      </w:pPr>
      <w:r w:rsidRPr="000F369F">
        <w:rPr>
          <w:rFonts w:ascii="Times New Roman" w:hAnsi="Times New Roman" w:cs="Times New Roman"/>
          <w:color w:val="000000" w:themeColor="text1"/>
          <w:szCs w:val="24"/>
        </w:rPr>
        <w:t>The rapid growth of online booking platforms has further transformed contractual practices in tourism. Digital contracts are frequently concluded through automated systems, where consumers accept terms through electronic confirmation. While electronic contracting has improved efficiency, it has also raised legal concerns regarding transparency, informed consent, and enforceability (Ruhl, 2020). Research indicates that many consumers do not fully read contractual terms, increasing their vulnerability in the event of service failure or disruption.</w:t>
      </w:r>
    </w:p>
    <w:p w14:paraId="3DCD95BF" w14:textId="77777777" w:rsidR="000F369F" w:rsidRPr="000F369F" w:rsidRDefault="000F369F" w:rsidP="000F369F">
      <w:pPr>
        <w:spacing w:line="480" w:lineRule="auto"/>
        <w:rPr>
          <w:rFonts w:ascii="Times New Roman" w:hAnsi="Times New Roman" w:cs="Times New Roman"/>
          <w:color w:val="000000" w:themeColor="text1"/>
          <w:szCs w:val="24"/>
        </w:rPr>
      </w:pPr>
      <w:r w:rsidRPr="000F369F">
        <w:rPr>
          <w:rFonts w:ascii="Times New Roman" w:hAnsi="Times New Roman" w:cs="Times New Roman"/>
          <w:color w:val="000000" w:themeColor="text1"/>
          <w:szCs w:val="24"/>
        </w:rPr>
        <w:lastRenderedPageBreak/>
        <w:t>Regulatory frameworks have sought to address these challenges by strengthening consumer rights within tourism contracts. For example, package travel regulations impose clear obligations on tour organisers to ensure the proper performance of all included services, regardless of whether third parties are involved (European Commission, 2022). Such measures reflect a broader shift towards recognising tourism consumers as a protected class within contract law.</w:t>
      </w:r>
    </w:p>
    <w:p w14:paraId="12F683AD" w14:textId="77777777" w:rsidR="000F369F" w:rsidRPr="000F369F" w:rsidRDefault="000F369F" w:rsidP="000F369F">
      <w:pPr>
        <w:spacing w:line="480" w:lineRule="auto"/>
        <w:rPr>
          <w:rFonts w:ascii="Times New Roman" w:hAnsi="Times New Roman" w:cs="Times New Roman"/>
          <w:color w:val="000000" w:themeColor="text1"/>
          <w:szCs w:val="24"/>
        </w:rPr>
      </w:pPr>
      <w:r w:rsidRPr="000F369F">
        <w:rPr>
          <w:rFonts w:ascii="Times New Roman" w:hAnsi="Times New Roman" w:cs="Times New Roman"/>
          <w:color w:val="000000" w:themeColor="text1"/>
          <w:szCs w:val="24"/>
        </w:rPr>
        <w:t>This assignment aims to critically analyse the role of contract law in the tourism industry by examining how contracts are formed, how disputes arise, and how legal remedies are applied. By exploring legal literature and regulatory developments, the study demonstrates that contract law is essential for maintaining fairness, consumer confidence, and the sustainable functioning of the tourism sector.</w:t>
      </w:r>
    </w:p>
    <w:p w14:paraId="35441EF1" w14:textId="77777777" w:rsidR="0086710E" w:rsidRPr="000437FE" w:rsidRDefault="0086710E" w:rsidP="0086710E">
      <w:pPr>
        <w:spacing w:line="480" w:lineRule="auto"/>
        <w:rPr>
          <w:rFonts w:ascii="Times New Roman" w:hAnsi="Times New Roman" w:cs="Times New Roman"/>
          <w:color w:val="000000" w:themeColor="text1"/>
          <w:szCs w:val="24"/>
        </w:rPr>
      </w:pPr>
    </w:p>
    <w:p w14:paraId="1ED96B5B" w14:textId="77777777" w:rsidR="000F369F" w:rsidRPr="000437FE" w:rsidRDefault="000F369F" w:rsidP="0086710E">
      <w:pPr>
        <w:spacing w:line="480" w:lineRule="auto"/>
        <w:rPr>
          <w:rFonts w:ascii="Times New Roman" w:hAnsi="Times New Roman" w:cs="Times New Roman"/>
          <w:color w:val="000000" w:themeColor="text1"/>
          <w:szCs w:val="24"/>
        </w:rPr>
      </w:pPr>
    </w:p>
    <w:p w14:paraId="730A2250" w14:textId="77777777" w:rsidR="000F369F" w:rsidRPr="000437FE" w:rsidRDefault="000F369F" w:rsidP="0086710E">
      <w:pPr>
        <w:spacing w:line="480" w:lineRule="auto"/>
        <w:rPr>
          <w:rFonts w:ascii="Times New Roman" w:hAnsi="Times New Roman" w:cs="Times New Roman"/>
          <w:color w:val="000000" w:themeColor="text1"/>
          <w:szCs w:val="24"/>
        </w:rPr>
      </w:pPr>
    </w:p>
    <w:p w14:paraId="5124475A" w14:textId="77777777" w:rsidR="000F369F" w:rsidRPr="000437FE" w:rsidRDefault="000F369F" w:rsidP="0086710E">
      <w:pPr>
        <w:spacing w:line="480" w:lineRule="auto"/>
        <w:rPr>
          <w:rFonts w:ascii="Times New Roman" w:hAnsi="Times New Roman" w:cs="Times New Roman"/>
          <w:color w:val="000000" w:themeColor="text1"/>
          <w:szCs w:val="24"/>
        </w:rPr>
      </w:pPr>
    </w:p>
    <w:p w14:paraId="5337F81F" w14:textId="77777777" w:rsidR="000F369F" w:rsidRPr="000437FE" w:rsidRDefault="000F369F" w:rsidP="0086710E">
      <w:pPr>
        <w:spacing w:line="480" w:lineRule="auto"/>
        <w:rPr>
          <w:rFonts w:ascii="Times New Roman" w:hAnsi="Times New Roman" w:cs="Times New Roman"/>
          <w:color w:val="000000" w:themeColor="text1"/>
          <w:szCs w:val="24"/>
        </w:rPr>
      </w:pPr>
    </w:p>
    <w:p w14:paraId="3C88B883" w14:textId="77777777" w:rsidR="000F369F" w:rsidRPr="000437FE" w:rsidRDefault="000F369F" w:rsidP="0086710E">
      <w:pPr>
        <w:spacing w:line="480" w:lineRule="auto"/>
        <w:rPr>
          <w:rFonts w:ascii="Times New Roman" w:hAnsi="Times New Roman" w:cs="Times New Roman"/>
          <w:color w:val="000000" w:themeColor="text1"/>
          <w:szCs w:val="24"/>
        </w:rPr>
      </w:pPr>
    </w:p>
    <w:p w14:paraId="05BE8742" w14:textId="77777777" w:rsidR="000F369F" w:rsidRPr="000437FE" w:rsidRDefault="000F369F" w:rsidP="0086710E">
      <w:pPr>
        <w:spacing w:line="480" w:lineRule="auto"/>
        <w:rPr>
          <w:rFonts w:ascii="Times New Roman" w:hAnsi="Times New Roman" w:cs="Times New Roman"/>
          <w:color w:val="000000" w:themeColor="text1"/>
          <w:szCs w:val="24"/>
        </w:rPr>
      </w:pPr>
    </w:p>
    <w:p w14:paraId="6DA37A19" w14:textId="77777777" w:rsidR="00EA7FD8" w:rsidRPr="000437FE" w:rsidRDefault="00EA7FD8" w:rsidP="0086710E">
      <w:pPr>
        <w:spacing w:line="480" w:lineRule="auto"/>
        <w:rPr>
          <w:rFonts w:ascii="Times New Roman" w:hAnsi="Times New Roman" w:cs="Times New Roman"/>
          <w:color w:val="000000" w:themeColor="text1"/>
          <w:szCs w:val="24"/>
        </w:rPr>
      </w:pPr>
    </w:p>
    <w:p w14:paraId="5FEB03D5" w14:textId="77777777" w:rsidR="0086710E" w:rsidRPr="000437FE" w:rsidRDefault="0086710E" w:rsidP="0086710E">
      <w:pPr>
        <w:spacing w:line="480" w:lineRule="auto"/>
        <w:rPr>
          <w:rFonts w:ascii="Times New Roman" w:hAnsi="Times New Roman" w:cs="Times New Roman"/>
          <w:color w:val="000000" w:themeColor="text1"/>
          <w:szCs w:val="24"/>
        </w:rPr>
      </w:pPr>
    </w:p>
    <w:p w14:paraId="24B0D3F0" w14:textId="77777777" w:rsidR="000F369F" w:rsidRPr="000437FE" w:rsidRDefault="000E04F4" w:rsidP="000F369F">
      <w:pPr>
        <w:spacing w:line="480" w:lineRule="auto"/>
        <w:rPr>
          <w:rFonts w:ascii="Times New Roman" w:hAnsi="Times New Roman" w:cs="Times New Roman"/>
          <w:color w:val="000000" w:themeColor="text1"/>
          <w:szCs w:val="24"/>
        </w:rPr>
      </w:pPr>
      <w:bookmarkStart w:id="2" w:name="_Toc221201956"/>
      <w:r w:rsidRPr="000437FE">
        <w:rPr>
          <w:rStyle w:val="Heading1Char"/>
          <w:rFonts w:ascii="Times New Roman" w:hAnsi="Times New Roman" w:cs="Times New Roman"/>
          <w:b/>
          <w:bCs/>
          <w:color w:val="000000" w:themeColor="text1"/>
          <w:sz w:val="24"/>
          <w:szCs w:val="24"/>
        </w:rPr>
        <w:lastRenderedPageBreak/>
        <w:t>2</w:t>
      </w:r>
      <w:r w:rsidR="0095171B" w:rsidRPr="000437FE">
        <w:rPr>
          <w:rStyle w:val="Heading1Char"/>
          <w:rFonts w:ascii="Times New Roman" w:hAnsi="Times New Roman" w:cs="Times New Roman"/>
          <w:b/>
          <w:bCs/>
          <w:color w:val="000000" w:themeColor="text1"/>
          <w:sz w:val="24"/>
          <w:szCs w:val="24"/>
        </w:rPr>
        <w:t>. Literature Review</w:t>
      </w:r>
      <w:bookmarkEnd w:id="2"/>
      <w:r w:rsidR="0095171B" w:rsidRPr="000437FE">
        <w:rPr>
          <w:rFonts w:ascii="Times New Roman" w:hAnsi="Times New Roman" w:cs="Times New Roman"/>
          <w:color w:val="000000" w:themeColor="text1"/>
          <w:szCs w:val="24"/>
        </w:rPr>
        <w:t xml:space="preserve"> </w:t>
      </w:r>
      <w:r w:rsidR="0095171B" w:rsidRPr="000437FE">
        <w:rPr>
          <w:rFonts w:ascii="Times New Roman" w:hAnsi="Times New Roman" w:cs="Times New Roman"/>
          <w:color w:val="000000" w:themeColor="text1"/>
          <w:szCs w:val="24"/>
        </w:rPr>
        <w:br/>
      </w:r>
      <w:r w:rsidR="000F369F" w:rsidRPr="000437FE">
        <w:rPr>
          <w:rFonts w:ascii="Times New Roman" w:hAnsi="Times New Roman" w:cs="Times New Roman"/>
          <w:color w:val="000000" w:themeColor="text1"/>
          <w:szCs w:val="24"/>
        </w:rPr>
        <w:t>Contract law has long been recognised as a foundational legal framework governing commercial relationships, and its relevance is particularly pronounced in the tourism industry. Tourism transactions typically involve advance payment, delayed performance, and reliance on promises made by service providers, which heightens the legal importance of enforceable contracts. Legal scholars consistently emphasise that tourism services differ from tangible goods due to their experiential and perishable nature, increasing the risk of consumer dissatisfaction and contractual disputes (Dickerson, 2021). As a result, contract law plays a critical role in regulating expectations, allocating risk, and ensuring accountability in tourism-related agreements.</w:t>
      </w:r>
    </w:p>
    <w:p w14:paraId="2EBF5C87" w14:textId="77777777" w:rsidR="000F369F" w:rsidRPr="000437FE" w:rsidRDefault="000F369F" w:rsidP="000F369F">
      <w:pPr>
        <w:spacing w:line="480" w:lineRule="auto"/>
        <w:rPr>
          <w:rFonts w:ascii="Times New Roman" w:hAnsi="Times New Roman" w:cs="Times New Roman"/>
          <w:b/>
          <w:bCs/>
          <w:color w:val="000000" w:themeColor="text1"/>
          <w:szCs w:val="24"/>
        </w:rPr>
      </w:pPr>
    </w:p>
    <w:p w14:paraId="7F0E277E" w14:textId="69CF91C3" w:rsidR="000F369F" w:rsidRPr="000437FE" w:rsidRDefault="000F369F" w:rsidP="000F369F">
      <w:pPr>
        <w:spacing w:line="480" w:lineRule="auto"/>
        <w:rPr>
          <w:rFonts w:ascii="Times New Roman" w:hAnsi="Times New Roman" w:cs="Times New Roman"/>
          <w:b/>
          <w:bCs/>
          <w:color w:val="000000" w:themeColor="text1"/>
          <w:szCs w:val="24"/>
        </w:rPr>
      </w:pPr>
      <w:r w:rsidRPr="000437FE">
        <w:rPr>
          <w:rFonts w:ascii="Times New Roman" w:hAnsi="Times New Roman" w:cs="Times New Roman"/>
          <w:b/>
          <w:bCs/>
          <w:color w:val="000000" w:themeColor="text1"/>
          <w:szCs w:val="24"/>
        </w:rPr>
        <w:t>Theoretical Foundations of Contract Law in Tourism</w:t>
      </w:r>
    </w:p>
    <w:p w14:paraId="7FC11CCE" w14:textId="5B17DA34"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The literature defines contract law as the body of rules governing the formation, performance, and enforcement of legally binding agreements. Within tourism, contracts serve as mechanisms for coordinating relationships between parties who often lack prior interaction and may </w:t>
      </w:r>
      <w:proofErr w:type="gramStart"/>
      <w:r w:rsidRPr="000437FE">
        <w:rPr>
          <w:rFonts w:ascii="Times New Roman" w:hAnsi="Times New Roman" w:cs="Times New Roman"/>
          <w:color w:val="000000" w:themeColor="text1"/>
          <w:szCs w:val="24"/>
        </w:rPr>
        <w:t>be located in</w:t>
      </w:r>
      <w:proofErr w:type="gramEnd"/>
      <w:r w:rsidRPr="000437FE">
        <w:rPr>
          <w:rFonts w:ascii="Times New Roman" w:hAnsi="Times New Roman" w:cs="Times New Roman"/>
          <w:color w:val="000000" w:themeColor="text1"/>
          <w:szCs w:val="24"/>
        </w:rPr>
        <w:t xml:space="preserve"> different jurisdictions (Poole, 2020). Scholars argue that contractual certainty is essential in tourism because consumers commit financially before experiencing the service, making them vulnerable to non-performance or misrepresentation (Ruhl, 2020).</w:t>
      </w:r>
    </w:p>
    <w:p w14:paraId="2E7B007A" w14:textId="77777777"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From a theoretical perspective, tourism contracts are embedded within classical contract principles, including freedom of contract and pacta sunt </w:t>
      </w:r>
      <w:proofErr w:type="spellStart"/>
      <w:r w:rsidRPr="000437FE">
        <w:rPr>
          <w:rFonts w:ascii="Times New Roman" w:hAnsi="Times New Roman" w:cs="Times New Roman"/>
          <w:color w:val="000000" w:themeColor="text1"/>
          <w:szCs w:val="24"/>
        </w:rPr>
        <w:t>servanda</w:t>
      </w:r>
      <w:proofErr w:type="spellEnd"/>
      <w:r w:rsidRPr="000437FE">
        <w:rPr>
          <w:rFonts w:ascii="Times New Roman" w:hAnsi="Times New Roman" w:cs="Times New Roman"/>
          <w:color w:val="000000" w:themeColor="text1"/>
          <w:szCs w:val="24"/>
        </w:rPr>
        <w:t xml:space="preserve">. However, contemporary scholarship increasingly challenges the adequacy of these principles in mass tourism markets dominated by standard-form contracts. Research indicates that unequal bargaining power </w:t>
      </w:r>
      <w:r w:rsidRPr="000437FE">
        <w:rPr>
          <w:rFonts w:ascii="Times New Roman" w:hAnsi="Times New Roman" w:cs="Times New Roman"/>
          <w:color w:val="000000" w:themeColor="text1"/>
          <w:szCs w:val="24"/>
        </w:rPr>
        <w:lastRenderedPageBreak/>
        <w:t>undermines genuine consent, prompting a shift towards regulatory and judicial intervention to restore fairness (Weatherill, 2020).</w:t>
      </w:r>
    </w:p>
    <w:p w14:paraId="3FCE02B1" w14:textId="77777777" w:rsidR="000F369F" w:rsidRPr="000437FE" w:rsidRDefault="000F369F" w:rsidP="000F369F">
      <w:pPr>
        <w:spacing w:line="480" w:lineRule="auto"/>
        <w:rPr>
          <w:rFonts w:ascii="Times New Roman" w:hAnsi="Times New Roman" w:cs="Times New Roman"/>
          <w:color w:val="000000" w:themeColor="text1"/>
          <w:szCs w:val="24"/>
        </w:rPr>
      </w:pPr>
    </w:p>
    <w:p w14:paraId="7BF6E9FC" w14:textId="3D1ADA1A" w:rsidR="000F369F" w:rsidRPr="000437FE" w:rsidRDefault="000F369F" w:rsidP="000F369F">
      <w:pPr>
        <w:spacing w:line="480" w:lineRule="auto"/>
        <w:rPr>
          <w:rFonts w:ascii="Times New Roman" w:hAnsi="Times New Roman" w:cs="Times New Roman"/>
          <w:b/>
          <w:bCs/>
          <w:color w:val="000000" w:themeColor="text1"/>
          <w:szCs w:val="24"/>
        </w:rPr>
      </w:pPr>
      <w:r w:rsidRPr="000437FE">
        <w:rPr>
          <w:rFonts w:ascii="Times New Roman" w:hAnsi="Times New Roman" w:cs="Times New Roman"/>
          <w:b/>
          <w:bCs/>
          <w:color w:val="000000" w:themeColor="text1"/>
          <w:szCs w:val="24"/>
        </w:rPr>
        <w:t>Formation of Tourism Contracts</w:t>
      </w:r>
    </w:p>
    <w:p w14:paraId="791B5A30" w14:textId="4A2DEFC9"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A significant body of literature focuses on contract formation in tourism, particularly the application of offer, acceptance, consideration, and intention to create legal relations. Advertisements for tourism services are frequently treated as invitations to treat rather than binding offers, yet courts have recognised that detailed online descriptions may form contractual promises once accepted by consumers (Poole, 2020). This distinction has become increasingly important with the expansion of digital booking platforms.</w:t>
      </w:r>
    </w:p>
    <w:p w14:paraId="295FEC42" w14:textId="77777777"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Acceptance in tourism contracts often occurs electronically, raising questions regarding the legal validity of click-wrap and browse-wrap agreements. Empirical legal studies suggest that electronic acceptance is enforceable </w:t>
      </w:r>
      <w:proofErr w:type="gramStart"/>
      <w:r w:rsidRPr="000437FE">
        <w:rPr>
          <w:rFonts w:ascii="Times New Roman" w:hAnsi="Times New Roman" w:cs="Times New Roman"/>
          <w:color w:val="000000" w:themeColor="text1"/>
          <w:szCs w:val="24"/>
        </w:rPr>
        <w:t>provided that</w:t>
      </w:r>
      <w:proofErr w:type="gramEnd"/>
      <w:r w:rsidRPr="000437FE">
        <w:rPr>
          <w:rFonts w:ascii="Times New Roman" w:hAnsi="Times New Roman" w:cs="Times New Roman"/>
          <w:color w:val="000000" w:themeColor="text1"/>
          <w:szCs w:val="24"/>
        </w:rPr>
        <w:t xml:space="preserve"> terms are clearly presented and accessible prior to confirmation (Ruhl, 2020). Consideration is typically monetary, though scholars note that loyalty schemes and promotional incentives may also constitute valid consideration in certain contexts. Intention to create legal relations is generally presumed in tourism transactions due to their commercial nature, reinforcing the enforceability of such agreements.</w:t>
      </w:r>
    </w:p>
    <w:p w14:paraId="5FF76D87" w14:textId="77777777" w:rsidR="000F369F" w:rsidRPr="000437FE" w:rsidRDefault="000F369F" w:rsidP="000F369F">
      <w:pPr>
        <w:spacing w:line="480" w:lineRule="auto"/>
        <w:rPr>
          <w:rFonts w:ascii="Times New Roman" w:hAnsi="Times New Roman" w:cs="Times New Roman"/>
          <w:color w:val="000000" w:themeColor="text1"/>
          <w:szCs w:val="24"/>
        </w:rPr>
      </w:pPr>
    </w:p>
    <w:p w14:paraId="54009E60" w14:textId="77777777" w:rsidR="000F369F" w:rsidRPr="000437FE" w:rsidRDefault="000F369F" w:rsidP="000F369F">
      <w:pPr>
        <w:spacing w:line="480" w:lineRule="auto"/>
        <w:rPr>
          <w:rFonts w:ascii="Times New Roman" w:hAnsi="Times New Roman" w:cs="Times New Roman"/>
          <w:color w:val="000000" w:themeColor="text1"/>
          <w:szCs w:val="24"/>
        </w:rPr>
      </w:pPr>
    </w:p>
    <w:p w14:paraId="4CF9D6EA" w14:textId="77777777" w:rsidR="000F369F" w:rsidRPr="000437FE" w:rsidRDefault="000F369F" w:rsidP="000F369F">
      <w:pPr>
        <w:spacing w:line="480" w:lineRule="auto"/>
        <w:rPr>
          <w:rFonts w:ascii="Times New Roman" w:hAnsi="Times New Roman" w:cs="Times New Roman"/>
          <w:color w:val="000000" w:themeColor="text1"/>
          <w:szCs w:val="24"/>
        </w:rPr>
      </w:pPr>
    </w:p>
    <w:p w14:paraId="27A8E54A" w14:textId="77777777" w:rsidR="000F369F" w:rsidRPr="000437FE" w:rsidRDefault="000F369F" w:rsidP="000F369F">
      <w:pPr>
        <w:spacing w:line="480" w:lineRule="auto"/>
        <w:rPr>
          <w:rFonts w:ascii="Times New Roman" w:hAnsi="Times New Roman" w:cs="Times New Roman"/>
          <w:color w:val="000000" w:themeColor="text1"/>
          <w:szCs w:val="24"/>
        </w:rPr>
      </w:pPr>
    </w:p>
    <w:p w14:paraId="36E5A8E7" w14:textId="1570FCEF" w:rsidR="000F369F" w:rsidRPr="000437FE" w:rsidRDefault="000F369F" w:rsidP="000F369F">
      <w:pPr>
        <w:spacing w:line="480" w:lineRule="auto"/>
        <w:rPr>
          <w:rFonts w:ascii="Times New Roman" w:hAnsi="Times New Roman" w:cs="Times New Roman"/>
          <w:b/>
          <w:bCs/>
          <w:color w:val="000000" w:themeColor="text1"/>
          <w:szCs w:val="24"/>
        </w:rPr>
      </w:pPr>
      <w:r w:rsidRPr="000437FE">
        <w:rPr>
          <w:rFonts w:ascii="Times New Roman" w:hAnsi="Times New Roman" w:cs="Times New Roman"/>
          <w:b/>
          <w:bCs/>
          <w:color w:val="000000" w:themeColor="text1"/>
          <w:szCs w:val="24"/>
        </w:rPr>
        <w:lastRenderedPageBreak/>
        <w:t>Standard-Form Contracts and Consumer Vulnerability</w:t>
      </w:r>
    </w:p>
    <w:p w14:paraId="06F7E0D1" w14:textId="2AA42761"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The dominance of standard-form contracts is a recurring theme in tourism law literature. Airlines, hotels, and online travel agencies rely heavily on pre-drafted terms to streamline transactions and manage operational risk. While these contracts improve efficiency, scholars argue that they significantly disadvantage consumers by limiting negotiation and understanding (Bennett &amp; Baird, 2018).</w:t>
      </w:r>
    </w:p>
    <w:p w14:paraId="6E785AD6" w14:textId="77777777"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Research highlights that consumers rarely read or fully comprehend lengthy contractual terms, particularly in online environments. This has led to widespread criticism of exclusion clauses, strict cancellation policies, and unilateral modification provisions commonly found in tourism contracts (Weatherill, 2020). Legal commentators note that courts increasingly apply doctrines such as contra proferentem and statutory fairness tests to mitigate the harsh effects of such terms.</w:t>
      </w:r>
    </w:p>
    <w:p w14:paraId="1A41A454" w14:textId="77777777" w:rsidR="000F369F" w:rsidRPr="000437FE" w:rsidRDefault="000F369F" w:rsidP="000F369F">
      <w:pPr>
        <w:spacing w:line="480" w:lineRule="auto"/>
        <w:rPr>
          <w:rFonts w:ascii="Times New Roman" w:hAnsi="Times New Roman" w:cs="Times New Roman"/>
          <w:color w:val="000000" w:themeColor="text1"/>
          <w:szCs w:val="24"/>
        </w:rPr>
      </w:pPr>
    </w:p>
    <w:p w14:paraId="249F61E5" w14:textId="768783CF" w:rsidR="000F369F" w:rsidRPr="000437FE" w:rsidRDefault="000F369F" w:rsidP="000F369F">
      <w:pPr>
        <w:spacing w:line="480" w:lineRule="auto"/>
        <w:rPr>
          <w:rFonts w:ascii="Times New Roman" w:hAnsi="Times New Roman" w:cs="Times New Roman"/>
          <w:b/>
          <w:bCs/>
          <w:color w:val="000000" w:themeColor="text1"/>
          <w:szCs w:val="24"/>
        </w:rPr>
      </w:pPr>
      <w:r w:rsidRPr="000437FE">
        <w:rPr>
          <w:rFonts w:ascii="Times New Roman" w:hAnsi="Times New Roman" w:cs="Times New Roman"/>
          <w:b/>
          <w:bCs/>
          <w:color w:val="000000" w:themeColor="text1"/>
          <w:szCs w:val="24"/>
        </w:rPr>
        <w:t>Types of Tourism Contracts</w:t>
      </w:r>
    </w:p>
    <w:p w14:paraId="117B53A7" w14:textId="77777777"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Tourism law literature identifies several categories of contracts, including accommodation contracts, transport agreements, package travel contracts, and liability waivers. Among these, package travel contracts have attracted substantial scholarly attention due to their complexity and regulatory oversight. Studies examining package travel regulation emphasise that organisers are held responsible for the overall performance of the package, even when services are delivered by third parties (European Commission, 2022).</w:t>
      </w:r>
    </w:p>
    <w:p w14:paraId="4344EFC1" w14:textId="77777777" w:rsidR="000F369F" w:rsidRPr="000437FE" w:rsidRDefault="000F369F" w:rsidP="000F369F">
      <w:pPr>
        <w:spacing w:line="480" w:lineRule="auto"/>
        <w:rPr>
          <w:rFonts w:ascii="Times New Roman" w:hAnsi="Times New Roman" w:cs="Times New Roman"/>
          <w:color w:val="000000" w:themeColor="text1"/>
          <w:szCs w:val="24"/>
        </w:rPr>
      </w:pPr>
    </w:p>
    <w:p w14:paraId="46AEA0E5" w14:textId="77777777"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lastRenderedPageBreak/>
        <w:t>Accommodation contracts have also been widely analysed, particularly disputes involving overbooking, downgraded facilities, and misleading representations. Scholars argue that promotional materials often form part of the contractual offer, increasing service providers’ liability for inaccuracies (Dickerson, 2021). Liability waivers, especially in adventure tourism, remain controversial, with courts frequently invalidating them where they conflict with consumer protection principles or public policy (Bennett &amp; Baird, 2018).</w:t>
      </w:r>
    </w:p>
    <w:p w14:paraId="345F4C9B" w14:textId="77777777" w:rsidR="000F369F" w:rsidRPr="000437FE" w:rsidRDefault="000F369F" w:rsidP="000F369F">
      <w:pPr>
        <w:spacing w:line="480" w:lineRule="auto"/>
        <w:rPr>
          <w:rFonts w:ascii="Times New Roman" w:hAnsi="Times New Roman" w:cs="Times New Roman"/>
          <w:color w:val="000000" w:themeColor="text1"/>
          <w:szCs w:val="24"/>
        </w:rPr>
      </w:pPr>
    </w:p>
    <w:p w14:paraId="7DCA0DDB" w14:textId="47D898A8" w:rsidR="000F369F" w:rsidRPr="000437FE" w:rsidRDefault="000F369F" w:rsidP="000F369F">
      <w:pPr>
        <w:spacing w:line="480" w:lineRule="auto"/>
        <w:rPr>
          <w:rFonts w:ascii="Times New Roman" w:hAnsi="Times New Roman" w:cs="Times New Roman"/>
          <w:b/>
          <w:bCs/>
          <w:color w:val="000000" w:themeColor="text1"/>
          <w:szCs w:val="24"/>
        </w:rPr>
      </w:pPr>
      <w:r w:rsidRPr="000437FE">
        <w:rPr>
          <w:rFonts w:ascii="Times New Roman" w:hAnsi="Times New Roman" w:cs="Times New Roman"/>
          <w:b/>
          <w:bCs/>
          <w:color w:val="000000" w:themeColor="text1"/>
          <w:szCs w:val="24"/>
        </w:rPr>
        <w:t>Rights, Obligations, and Implied Terms</w:t>
      </w:r>
    </w:p>
    <w:p w14:paraId="6982730D" w14:textId="3C678113"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The literature consistently highlights the reciprocal rights and obligations inherent in tourism contracts. Service providers are expected to deliver services with reasonable care and skill, while consumers are obligated to comply with payment and conduct requirements. However, scholars emphasise that express terms alone are often insufficient to ensure fairness, leading courts to imply terms relating to safety, quality, and fitness for purpose (Poole, 2020).</w:t>
      </w:r>
    </w:p>
    <w:p w14:paraId="4C84A851" w14:textId="77777777"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Implied terms have been particularly significant in tourism disputes involving personal injury or service failure. Legal analysis shows that implied obligations have enabled courts to protect tourists even when contracts contain extensive exclusion clauses. This reinforces the argument that contract law functions as both a commercial and protective framework within tourism.</w:t>
      </w:r>
    </w:p>
    <w:p w14:paraId="183A092A" w14:textId="77777777" w:rsidR="000F369F" w:rsidRPr="000437FE" w:rsidRDefault="000F369F" w:rsidP="000F369F">
      <w:pPr>
        <w:spacing w:line="480" w:lineRule="auto"/>
        <w:rPr>
          <w:rFonts w:ascii="Times New Roman" w:hAnsi="Times New Roman" w:cs="Times New Roman"/>
          <w:color w:val="000000" w:themeColor="text1"/>
          <w:szCs w:val="24"/>
        </w:rPr>
      </w:pPr>
    </w:p>
    <w:p w14:paraId="547A9615" w14:textId="77777777" w:rsidR="000F369F" w:rsidRPr="000437FE" w:rsidRDefault="000F369F" w:rsidP="000F369F">
      <w:pPr>
        <w:spacing w:line="480" w:lineRule="auto"/>
        <w:rPr>
          <w:rFonts w:ascii="Times New Roman" w:hAnsi="Times New Roman" w:cs="Times New Roman"/>
          <w:color w:val="000000" w:themeColor="text1"/>
          <w:szCs w:val="24"/>
        </w:rPr>
      </w:pPr>
    </w:p>
    <w:p w14:paraId="0F5BAF8B" w14:textId="77777777" w:rsidR="000F369F" w:rsidRPr="000437FE" w:rsidRDefault="000F369F" w:rsidP="000F369F">
      <w:pPr>
        <w:spacing w:line="480" w:lineRule="auto"/>
        <w:rPr>
          <w:rFonts w:ascii="Times New Roman" w:hAnsi="Times New Roman" w:cs="Times New Roman"/>
          <w:color w:val="000000" w:themeColor="text1"/>
          <w:szCs w:val="24"/>
        </w:rPr>
      </w:pPr>
    </w:p>
    <w:p w14:paraId="42EF793B" w14:textId="77777777" w:rsidR="000F369F" w:rsidRPr="000437FE" w:rsidRDefault="000F369F" w:rsidP="000F369F">
      <w:pPr>
        <w:spacing w:line="480" w:lineRule="auto"/>
        <w:rPr>
          <w:rFonts w:ascii="Times New Roman" w:hAnsi="Times New Roman" w:cs="Times New Roman"/>
          <w:color w:val="000000" w:themeColor="text1"/>
          <w:szCs w:val="24"/>
        </w:rPr>
      </w:pPr>
    </w:p>
    <w:p w14:paraId="594F6594" w14:textId="4C24D761" w:rsidR="000F369F" w:rsidRPr="000437FE" w:rsidRDefault="000F369F" w:rsidP="000F369F">
      <w:pPr>
        <w:spacing w:line="480" w:lineRule="auto"/>
        <w:rPr>
          <w:rFonts w:ascii="Times New Roman" w:hAnsi="Times New Roman" w:cs="Times New Roman"/>
          <w:b/>
          <w:bCs/>
          <w:color w:val="000000" w:themeColor="text1"/>
          <w:szCs w:val="24"/>
        </w:rPr>
      </w:pPr>
      <w:r w:rsidRPr="000437FE">
        <w:rPr>
          <w:rFonts w:ascii="Times New Roman" w:hAnsi="Times New Roman" w:cs="Times New Roman"/>
          <w:b/>
          <w:bCs/>
          <w:color w:val="000000" w:themeColor="text1"/>
          <w:szCs w:val="24"/>
        </w:rPr>
        <w:lastRenderedPageBreak/>
        <w:t>Breach of Contract and Remedies</w:t>
      </w:r>
    </w:p>
    <w:p w14:paraId="42FCB667" w14:textId="7735204B"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Breach of contract is a central focus of tourism law scholarship. Common breaches include service cancellation, failure to deliver advertised amenities, and misrepresentation. Remedies such as damages, refunds, and contract termination are frequently discussed in the literature, with scholars noting that courts increasingly prioritise consumer restitution over strict contractual interpretation (Dickerson, 2021).</w:t>
      </w:r>
    </w:p>
    <w:p w14:paraId="73EE5C17" w14:textId="77777777"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The rise of alternative dispute resolution mechanisms has also been examined extensively. Arbitration and mediation clauses are commonly included in tourism contracts, particularly in international travel agreements. While ADR offers efficiency, research raises concerns about transparency and access to justice, especially when consumers are required to resolve disputes in foreign jurisdictions (Ruhl, 2020).</w:t>
      </w:r>
    </w:p>
    <w:p w14:paraId="1A4FD3EC" w14:textId="77777777" w:rsidR="000F369F" w:rsidRPr="000437FE" w:rsidRDefault="000F369F" w:rsidP="000F369F">
      <w:pPr>
        <w:spacing w:line="480" w:lineRule="auto"/>
        <w:rPr>
          <w:rFonts w:ascii="Times New Roman" w:hAnsi="Times New Roman" w:cs="Times New Roman"/>
          <w:color w:val="000000" w:themeColor="text1"/>
          <w:szCs w:val="24"/>
        </w:rPr>
      </w:pPr>
    </w:p>
    <w:p w14:paraId="227F018D" w14:textId="2BC9C91D" w:rsidR="000F369F" w:rsidRPr="000437FE" w:rsidRDefault="000F369F" w:rsidP="000F369F">
      <w:pPr>
        <w:spacing w:line="480" w:lineRule="auto"/>
        <w:rPr>
          <w:rFonts w:ascii="Times New Roman" w:hAnsi="Times New Roman" w:cs="Times New Roman"/>
          <w:b/>
          <w:bCs/>
          <w:color w:val="000000" w:themeColor="text1"/>
          <w:szCs w:val="24"/>
        </w:rPr>
      </w:pPr>
      <w:r w:rsidRPr="000437FE">
        <w:rPr>
          <w:rFonts w:ascii="Times New Roman" w:hAnsi="Times New Roman" w:cs="Times New Roman"/>
          <w:b/>
          <w:bCs/>
          <w:color w:val="000000" w:themeColor="text1"/>
          <w:szCs w:val="24"/>
        </w:rPr>
        <w:t>Impact of External Disruptions on Tourism Contracts</w:t>
      </w:r>
    </w:p>
    <w:p w14:paraId="7D6B397D" w14:textId="77777777"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Recent literature has devoted significant attention to the impact of global disruptions on tourism contracts. The COVID-19 pandemic prompted renewed analysis of doctrines such as force majeure and frustration. Scholars highlight inconsistent judicial approaches to cancellations and refunds, revealing weaknesses in contractual risk allocation (Poole, 2020). This has led to calls for clearer drafting and stronger regulatory intervention to enhance resilience within the tourism industry.</w:t>
      </w:r>
    </w:p>
    <w:p w14:paraId="498E74A3" w14:textId="77777777" w:rsidR="000F369F" w:rsidRPr="000437FE" w:rsidRDefault="000F369F" w:rsidP="000F369F">
      <w:pPr>
        <w:spacing w:line="480" w:lineRule="auto"/>
        <w:rPr>
          <w:rFonts w:ascii="Times New Roman" w:hAnsi="Times New Roman" w:cs="Times New Roman"/>
          <w:color w:val="000000" w:themeColor="text1"/>
          <w:szCs w:val="24"/>
        </w:rPr>
      </w:pPr>
    </w:p>
    <w:p w14:paraId="15896441" w14:textId="77777777" w:rsidR="000F369F" w:rsidRPr="000437FE" w:rsidRDefault="000F369F" w:rsidP="000F369F">
      <w:pPr>
        <w:spacing w:line="480" w:lineRule="auto"/>
        <w:rPr>
          <w:rFonts w:ascii="Times New Roman" w:hAnsi="Times New Roman" w:cs="Times New Roman"/>
          <w:color w:val="000000" w:themeColor="text1"/>
          <w:szCs w:val="24"/>
        </w:rPr>
      </w:pPr>
    </w:p>
    <w:p w14:paraId="39A860ED" w14:textId="484C2239" w:rsidR="000F369F" w:rsidRPr="000437FE" w:rsidRDefault="000F369F" w:rsidP="000F369F">
      <w:pPr>
        <w:spacing w:line="480" w:lineRule="auto"/>
        <w:rPr>
          <w:rFonts w:ascii="Times New Roman" w:hAnsi="Times New Roman" w:cs="Times New Roman"/>
          <w:b/>
          <w:bCs/>
          <w:color w:val="000000" w:themeColor="text1"/>
          <w:szCs w:val="24"/>
        </w:rPr>
      </w:pPr>
      <w:r w:rsidRPr="000437FE">
        <w:rPr>
          <w:rFonts w:ascii="Times New Roman" w:hAnsi="Times New Roman" w:cs="Times New Roman"/>
          <w:b/>
          <w:bCs/>
          <w:color w:val="000000" w:themeColor="text1"/>
          <w:szCs w:val="24"/>
        </w:rPr>
        <w:lastRenderedPageBreak/>
        <w:t>Critical Evaluation of Existing Literature</w:t>
      </w:r>
    </w:p>
    <w:p w14:paraId="0B9B38FF" w14:textId="77777777" w:rsidR="000F369F" w:rsidRPr="000437FE" w:rsidRDefault="000F369F" w:rsidP="000F369F">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Although existing literature provides a comprehensive understanding of contract law in tourism, several limitations are evident. Much of the research focuses on European and common law jurisdictions, limiting its applicability to developing tourism markets. Additionally, rapid digitalisation has outpaced legal scholarship, particularly in relation to algorithmic pricing and platform-based contracting. These gaps indicate a need for further interdisciplinary research that integrates legal analysis with technological and consumer behaviour perspectives.</w:t>
      </w:r>
    </w:p>
    <w:p w14:paraId="5CE63A65" w14:textId="77777777" w:rsidR="000F369F" w:rsidRPr="000437FE" w:rsidRDefault="000F369F" w:rsidP="000F369F">
      <w:pPr>
        <w:spacing w:line="480" w:lineRule="auto"/>
        <w:rPr>
          <w:rFonts w:ascii="Times New Roman" w:hAnsi="Times New Roman" w:cs="Times New Roman"/>
          <w:color w:val="000000" w:themeColor="text1"/>
          <w:szCs w:val="24"/>
        </w:rPr>
      </w:pPr>
    </w:p>
    <w:p w14:paraId="6848AD6A" w14:textId="77777777" w:rsidR="000F369F" w:rsidRPr="000437FE" w:rsidRDefault="000F369F" w:rsidP="000F369F">
      <w:pPr>
        <w:spacing w:line="480" w:lineRule="auto"/>
        <w:rPr>
          <w:rFonts w:ascii="Times New Roman" w:hAnsi="Times New Roman" w:cs="Times New Roman"/>
          <w:color w:val="000000" w:themeColor="text1"/>
          <w:szCs w:val="24"/>
        </w:rPr>
      </w:pPr>
    </w:p>
    <w:p w14:paraId="69DE855B" w14:textId="77777777" w:rsidR="000F369F" w:rsidRPr="000437FE" w:rsidRDefault="000F369F" w:rsidP="000F369F">
      <w:pPr>
        <w:spacing w:line="480" w:lineRule="auto"/>
        <w:rPr>
          <w:rFonts w:ascii="Times New Roman" w:hAnsi="Times New Roman" w:cs="Times New Roman"/>
          <w:color w:val="000000" w:themeColor="text1"/>
          <w:szCs w:val="24"/>
        </w:rPr>
      </w:pPr>
    </w:p>
    <w:p w14:paraId="0B283CA7" w14:textId="77777777" w:rsidR="000F369F" w:rsidRPr="000437FE" w:rsidRDefault="000F369F" w:rsidP="000F369F">
      <w:pPr>
        <w:spacing w:line="480" w:lineRule="auto"/>
        <w:rPr>
          <w:rFonts w:ascii="Times New Roman" w:hAnsi="Times New Roman" w:cs="Times New Roman"/>
          <w:color w:val="000000" w:themeColor="text1"/>
          <w:szCs w:val="24"/>
        </w:rPr>
      </w:pPr>
    </w:p>
    <w:p w14:paraId="4D657E2E" w14:textId="77777777" w:rsidR="000F369F" w:rsidRPr="000437FE" w:rsidRDefault="000F369F" w:rsidP="000F369F">
      <w:pPr>
        <w:spacing w:line="480" w:lineRule="auto"/>
        <w:rPr>
          <w:rFonts w:ascii="Times New Roman" w:hAnsi="Times New Roman" w:cs="Times New Roman"/>
          <w:color w:val="000000" w:themeColor="text1"/>
          <w:szCs w:val="24"/>
        </w:rPr>
      </w:pPr>
    </w:p>
    <w:p w14:paraId="14B7AC49" w14:textId="77777777" w:rsidR="000F369F" w:rsidRPr="000437FE" w:rsidRDefault="000F369F" w:rsidP="000F369F">
      <w:pPr>
        <w:spacing w:line="480" w:lineRule="auto"/>
        <w:rPr>
          <w:rFonts w:ascii="Times New Roman" w:hAnsi="Times New Roman" w:cs="Times New Roman"/>
          <w:color w:val="000000" w:themeColor="text1"/>
          <w:szCs w:val="24"/>
        </w:rPr>
      </w:pPr>
    </w:p>
    <w:p w14:paraId="7BBA260F" w14:textId="77777777" w:rsidR="000F369F" w:rsidRPr="000437FE" w:rsidRDefault="000F369F" w:rsidP="000F369F">
      <w:pPr>
        <w:spacing w:line="480" w:lineRule="auto"/>
        <w:rPr>
          <w:rFonts w:ascii="Times New Roman" w:hAnsi="Times New Roman" w:cs="Times New Roman"/>
          <w:color w:val="000000" w:themeColor="text1"/>
          <w:szCs w:val="24"/>
        </w:rPr>
      </w:pPr>
    </w:p>
    <w:p w14:paraId="22397AA8" w14:textId="77777777" w:rsidR="000F369F" w:rsidRPr="000437FE" w:rsidRDefault="000F369F" w:rsidP="000F369F">
      <w:pPr>
        <w:spacing w:line="480" w:lineRule="auto"/>
        <w:rPr>
          <w:rFonts w:ascii="Times New Roman" w:hAnsi="Times New Roman" w:cs="Times New Roman"/>
          <w:color w:val="000000" w:themeColor="text1"/>
          <w:szCs w:val="24"/>
        </w:rPr>
      </w:pPr>
    </w:p>
    <w:p w14:paraId="6CD98570" w14:textId="77777777" w:rsidR="000F369F" w:rsidRPr="000437FE" w:rsidRDefault="000F369F" w:rsidP="000F369F">
      <w:pPr>
        <w:spacing w:line="480" w:lineRule="auto"/>
        <w:rPr>
          <w:rFonts w:ascii="Times New Roman" w:hAnsi="Times New Roman" w:cs="Times New Roman"/>
          <w:color w:val="000000" w:themeColor="text1"/>
          <w:szCs w:val="24"/>
        </w:rPr>
      </w:pPr>
    </w:p>
    <w:p w14:paraId="26B71384" w14:textId="77777777" w:rsidR="000F369F" w:rsidRPr="000437FE" w:rsidRDefault="000F369F" w:rsidP="000F369F">
      <w:pPr>
        <w:spacing w:line="480" w:lineRule="auto"/>
        <w:rPr>
          <w:rFonts w:ascii="Times New Roman" w:hAnsi="Times New Roman" w:cs="Times New Roman"/>
          <w:color w:val="000000" w:themeColor="text1"/>
          <w:szCs w:val="24"/>
        </w:rPr>
      </w:pPr>
    </w:p>
    <w:p w14:paraId="0555579A" w14:textId="77777777" w:rsidR="000F369F" w:rsidRPr="000437FE" w:rsidRDefault="000F369F" w:rsidP="000F369F">
      <w:pPr>
        <w:spacing w:line="480" w:lineRule="auto"/>
        <w:rPr>
          <w:rFonts w:ascii="Times New Roman" w:hAnsi="Times New Roman" w:cs="Times New Roman"/>
          <w:color w:val="000000" w:themeColor="text1"/>
          <w:szCs w:val="24"/>
        </w:rPr>
      </w:pPr>
    </w:p>
    <w:p w14:paraId="7F25EE04" w14:textId="77777777" w:rsidR="000437FE" w:rsidRPr="000437FE" w:rsidRDefault="00843EDD" w:rsidP="000437FE">
      <w:pPr>
        <w:spacing w:line="480" w:lineRule="auto"/>
        <w:rPr>
          <w:rFonts w:ascii="Times New Roman" w:hAnsi="Times New Roman" w:cs="Times New Roman"/>
          <w:color w:val="000000" w:themeColor="text1"/>
          <w:szCs w:val="24"/>
        </w:rPr>
      </w:pPr>
      <w:bookmarkStart w:id="3" w:name="_Toc221201957"/>
      <w:r w:rsidRPr="000437FE">
        <w:rPr>
          <w:rStyle w:val="Heading1Char"/>
          <w:rFonts w:ascii="Times New Roman" w:hAnsi="Times New Roman" w:cs="Times New Roman"/>
          <w:b/>
          <w:bCs/>
          <w:color w:val="000000" w:themeColor="text1"/>
          <w:sz w:val="24"/>
          <w:szCs w:val="24"/>
        </w:rPr>
        <w:t>3</w:t>
      </w:r>
      <w:r w:rsidR="00582227" w:rsidRPr="000437FE">
        <w:rPr>
          <w:rStyle w:val="Heading1Char"/>
          <w:rFonts w:ascii="Times New Roman" w:hAnsi="Times New Roman" w:cs="Times New Roman"/>
          <w:b/>
          <w:bCs/>
          <w:color w:val="000000" w:themeColor="text1"/>
          <w:sz w:val="24"/>
          <w:szCs w:val="24"/>
        </w:rPr>
        <w:t xml:space="preserve"> Methodology</w:t>
      </w:r>
      <w:bookmarkEnd w:id="3"/>
      <w:r w:rsidR="00582227" w:rsidRPr="000437FE">
        <w:rPr>
          <w:rFonts w:ascii="Times New Roman" w:hAnsi="Times New Roman" w:cs="Times New Roman"/>
          <w:b/>
          <w:bCs/>
          <w:color w:val="000000" w:themeColor="text1"/>
          <w:szCs w:val="24"/>
        </w:rPr>
        <w:t xml:space="preserve"> </w:t>
      </w:r>
      <w:r w:rsidR="00582227" w:rsidRPr="000437FE">
        <w:rPr>
          <w:rFonts w:ascii="Times New Roman" w:hAnsi="Times New Roman" w:cs="Times New Roman"/>
          <w:color w:val="000000" w:themeColor="text1"/>
          <w:szCs w:val="24"/>
        </w:rPr>
        <w:br/>
      </w:r>
      <w:r w:rsidR="000437FE" w:rsidRPr="000437FE">
        <w:rPr>
          <w:rFonts w:ascii="Times New Roman" w:hAnsi="Times New Roman" w:cs="Times New Roman"/>
          <w:color w:val="000000" w:themeColor="text1"/>
          <w:szCs w:val="24"/>
        </w:rPr>
        <w:t xml:space="preserve">This study adopts a </w:t>
      </w:r>
      <w:r w:rsidR="000437FE" w:rsidRPr="000437FE">
        <w:rPr>
          <w:rFonts w:ascii="Times New Roman" w:hAnsi="Times New Roman" w:cs="Times New Roman"/>
          <w:b/>
          <w:bCs/>
          <w:color w:val="000000" w:themeColor="text1"/>
          <w:szCs w:val="24"/>
        </w:rPr>
        <w:t>qualitative doctrinal research methodology</w:t>
      </w:r>
      <w:r w:rsidR="000437FE" w:rsidRPr="000437FE">
        <w:rPr>
          <w:rFonts w:ascii="Times New Roman" w:hAnsi="Times New Roman" w:cs="Times New Roman"/>
          <w:color w:val="000000" w:themeColor="text1"/>
          <w:szCs w:val="24"/>
        </w:rPr>
        <w:t xml:space="preserve"> to examine the role of contract </w:t>
      </w:r>
      <w:r w:rsidR="000437FE" w:rsidRPr="000437FE">
        <w:rPr>
          <w:rFonts w:ascii="Times New Roman" w:hAnsi="Times New Roman" w:cs="Times New Roman"/>
          <w:color w:val="000000" w:themeColor="text1"/>
          <w:szCs w:val="24"/>
        </w:rPr>
        <w:lastRenderedPageBreak/>
        <w:t>law in regulating relationships within the tourism industry. Doctrinal research is a well-established approach in legal studies that focuses on the systematic analysis of legal rules, principles, statutes, and judicial decisions rather than the collection of empirical data. Given that the objective of this assignment is to evaluate how contract law governs tourism-related agreements and resolves disputes, a doctrinal approach is considered the most appropriate and effective method.</w:t>
      </w:r>
    </w:p>
    <w:p w14:paraId="6D290011" w14:textId="77777777" w:rsidR="000437FE" w:rsidRPr="000437FE" w:rsidRDefault="000437FE" w:rsidP="000437FE">
      <w:pPr>
        <w:spacing w:line="480" w:lineRule="auto"/>
        <w:rPr>
          <w:rFonts w:ascii="Times New Roman" w:hAnsi="Times New Roman" w:cs="Times New Roman"/>
          <w:b/>
          <w:bCs/>
          <w:color w:val="000000" w:themeColor="text1"/>
          <w:szCs w:val="24"/>
        </w:rPr>
      </w:pPr>
      <w:r w:rsidRPr="000437FE">
        <w:rPr>
          <w:rFonts w:ascii="Times New Roman" w:hAnsi="Times New Roman" w:cs="Times New Roman"/>
          <w:b/>
          <w:bCs/>
          <w:color w:val="000000" w:themeColor="text1"/>
          <w:szCs w:val="24"/>
        </w:rPr>
        <w:t>Research Approach and Design</w:t>
      </w:r>
    </w:p>
    <w:p w14:paraId="58F48CAD"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The research follows a </w:t>
      </w:r>
      <w:r w:rsidRPr="000437FE">
        <w:rPr>
          <w:rFonts w:ascii="Times New Roman" w:hAnsi="Times New Roman" w:cs="Times New Roman"/>
          <w:b/>
          <w:bCs/>
          <w:color w:val="000000" w:themeColor="text1"/>
          <w:szCs w:val="24"/>
        </w:rPr>
        <w:t>descriptive and analytical design</w:t>
      </w:r>
      <w:r w:rsidRPr="000437FE">
        <w:rPr>
          <w:rFonts w:ascii="Times New Roman" w:hAnsi="Times New Roman" w:cs="Times New Roman"/>
          <w:color w:val="000000" w:themeColor="text1"/>
          <w:szCs w:val="24"/>
        </w:rPr>
        <w:t>. The descriptive aspect explains the legal framework governing tourism contracts, including contract formation, rights and obligations of parties, and available remedies for breach. The analytical dimension critically evaluates how these legal principles operate in practice within the tourism sector, particularly in relation to consumer protection and contractual fairness (Poole, 2020).</w:t>
      </w:r>
    </w:p>
    <w:p w14:paraId="38C5B678"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This approach allows the study to identify patterns and recurring legal issues within tourism contracts, such as standard-form agreements, exclusion clauses, and cancellation policies. By analysing existing legal scholarship and regulatory instruments, the research provides an in-depth understanding of how contract law responds to the unique characteristics of tourism services, including advance payment and delayed consumption.</w:t>
      </w:r>
    </w:p>
    <w:p w14:paraId="13F5E978" w14:textId="77777777" w:rsidR="000437FE" w:rsidRPr="000437FE" w:rsidRDefault="000437FE" w:rsidP="000437FE">
      <w:pPr>
        <w:spacing w:line="480" w:lineRule="auto"/>
        <w:rPr>
          <w:rFonts w:ascii="Times New Roman" w:hAnsi="Times New Roman" w:cs="Times New Roman"/>
          <w:b/>
          <w:bCs/>
          <w:color w:val="000000" w:themeColor="text1"/>
          <w:szCs w:val="24"/>
        </w:rPr>
      </w:pPr>
      <w:r w:rsidRPr="000437FE">
        <w:rPr>
          <w:rFonts w:ascii="Times New Roman" w:hAnsi="Times New Roman" w:cs="Times New Roman"/>
          <w:b/>
          <w:bCs/>
          <w:color w:val="000000" w:themeColor="text1"/>
          <w:szCs w:val="24"/>
        </w:rPr>
        <w:t>Sources of Data</w:t>
      </w:r>
    </w:p>
    <w:p w14:paraId="5C0A6C32"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The study relies exclusively on </w:t>
      </w:r>
      <w:r w:rsidRPr="000437FE">
        <w:rPr>
          <w:rFonts w:ascii="Times New Roman" w:hAnsi="Times New Roman" w:cs="Times New Roman"/>
          <w:b/>
          <w:bCs/>
          <w:color w:val="000000" w:themeColor="text1"/>
          <w:szCs w:val="24"/>
        </w:rPr>
        <w:t>secondary sources of data</w:t>
      </w:r>
      <w:r w:rsidRPr="000437FE">
        <w:rPr>
          <w:rFonts w:ascii="Times New Roman" w:hAnsi="Times New Roman" w:cs="Times New Roman"/>
          <w:color w:val="000000" w:themeColor="text1"/>
          <w:szCs w:val="24"/>
        </w:rPr>
        <w:t xml:space="preserve">, which are considered authoritative and reliable within legal research. These sources include academic textbooks on contract and tourism law, peer-reviewed journal articles, policy documents, and official regulatory guidance. </w:t>
      </w:r>
      <w:r w:rsidRPr="000437FE">
        <w:rPr>
          <w:rFonts w:ascii="Times New Roman" w:hAnsi="Times New Roman" w:cs="Times New Roman"/>
          <w:color w:val="000000" w:themeColor="text1"/>
          <w:szCs w:val="24"/>
        </w:rPr>
        <w:lastRenderedPageBreak/>
        <w:t>Such materials provide the doctrinal foundation necessary for interpreting legal principles and assessing their application in tourism contexts (McConville &amp; Chui, 2017).</w:t>
      </w:r>
    </w:p>
    <w:p w14:paraId="16E59E92"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In addition, reported judicial decisions relating to tourism disputes were examined to understand how courts interpret contractual obligations and enforce consumer rights. These cases provide practical illustrations of how legal doctrines are applied to issues such as misrepresentation, service failure, and unfair contract terms.</w:t>
      </w:r>
    </w:p>
    <w:p w14:paraId="020109CE" w14:textId="77777777" w:rsidR="000437FE" w:rsidRPr="000437FE" w:rsidRDefault="000437FE" w:rsidP="000437FE">
      <w:pPr>
        <w:spacing w:line="480" w:lineRule="auto"/>
        <w:rPr>
          <w:rFonts w:ascii="Times New Roman" w:hAnsi="Times New Roman" w:cs="Times New Roman"/>
          <w:b/>
          <w:bCs/>
          <w:color w:val="000000" w:themeColor="text1"/>
          <w:szCs w:val="24"/>
        </w:rPr>
      </w:pPr>
      <w:r w:rsidRPr="000437FE">
        <w:rPr>
          <w:rFonts w:ascii="Times New Roman" w:hAnsi="Times New Roman" w:cs="Times New Roman"/>
          <w:b/>
          <w:bCs/>
          <w:color w:val="000000" w:themeColor="text1"/>
          <w:szCs w:val="24"/>
        </w:rPr>
        <w:t>Analytical Techniques</w:t>
      </w:r>
    </w:p>
    <w:p w14:paraId="7CE1D13D"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The data were analysed using </w:t>
      </w:r>
      <w:r w:rsidRPr="000437FE">
        <w:rPr>
          <w:rFonts w:ascii="Times New Roman" w:hAnsi="Times New Roman" w:cs="Times New Roman"/>
          <w:b/>
          <w:bCs/>
          <w:color w:val="000000" w:themeColor="text1"/>
          <w:szCs w:val="24"/>
        </w:rPr>
        <w:t>thematic legal analysis</w:t>
      </w:r>
      <w:r w:rsidRPr="000437FE">
        <w:rPr>
          <w:rFonts w:ascii="Times New Roman" w:hAnsi="Times New Roman" w:cs="Times New Roman"/>
          <w:color w:val="000000" w:themeColor="text1"/>
          <w:szCs w:val="24"/>
        </w:rPr>
        <w:t>. This involved identifying key legal themes emerging from the literature, including contractual imbalance, consumer vulnerability, regulatory intervention, and dispute resolution mechanisms. Each theme was examined in relation to different types of tourism contracts, such as accommodation bookings, transport agreements, and package travel contracts.</w:t>
      </w:r>
    </w:p>
    <w:p w14:paraId="7E251435"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Comparative analysis was also employed to assess how contract law principles apply across traditional and digital tourism environments. This was particularly relevant in evaluating electronic contracts formed through online booking platforms, where issues of transparency and informed consent frequently arise (Ruhl, 2020). By comparing scholarly perspectives and regulatory approaches, the study highlights areas of consensus as well as ongoing legal debate.</w:t>
      </w:r>
    </w:p>
    <w:p w14:paraId="6F85408B" w14:textId="77777777" w:rsidR="000437FE" w:rsidRPr="000437FE" w:rsidRDefault="000437FE" w:rsidP="000437FE">
      <w:pPr>
        <w:spacing w:line="480" w:lineRule="auto"/>
        <w:rPr>
          <w:rFonts w:ascii="Times New Roman" w:hAnsi="Times New Roman" w:cs="Times New Roman"/>
          <w:b/>
          <w:bCs/>
          <w:color w:val="000000" w:themeColor="text1"/>
          <w:szCs w:val="24"/>
        </w:rPr>
      </w:pPr>
      <w:r w:rsidRPr="000437FE">
        <w:rPr>
          <w:rFonts w:ascii="Times New Roman" w:hAnsi="Times New Roman" w:cs="Times New Roman"/>
          <w:b/>
          <w:bCs/>
          <w:color w:val="000000" w:themeColor="text1"/>
          <w:szCs w:val="24"/>
        </w:rPr>
        <w:t>Ethical Considerations</w:t>
      </w:r>
    </w:p>
    <w:p w14:paraId="660A081C"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As the research does not involve human participants, primary data collection, or confidential information, ethical risks are minimal. Academic integrity has been maintained by accurately representing legal sources and acknowledging all cited authors through appropriate in-text </w:t>
      </w:r>
      <w:r w:rsidRPr="000437FE">
        <w:rPr>
          <w:rFonts w:ascii="Times New Roman" w:hAnsi="Times New Roman" w:cs="Times New Roman"/>
          <w:color w:val="000000" w:themeColor="text1"/>
          <w:szCs w:val="24"/>
        </w:rPr>
        <w:lastRenderedPageBreak/>
        <w:t>citations. The study avoids bias by presenting balanced interpretations of legal principles and recognising differing scholarly viewpoints where relevant.</w:t>
      </w:r>
    </w:p>
    <w:p w14:paraId="29E5FE81" w14:textId="77777777" w:rsidR="000437FE" w:rsidRPr="000437FE" w:rsidRDefault="000437FE" w:rsidP="000437FE">
      <w:pPr>
        <w:spacing w:line="480" w:lineRule="auto"/>
        <w:rPr>
          <w:rFonts w:ascii="Times New Roman" w:hAnsi="Times New Roman" w:cs="Times New Roman"/>
          <w:b/>
          <w:bCs/>
          <w:color w:val="000000" w:themeColor="text1"/>
          <w:szCs w:val="24"/>
        </w:rPr>
      </w:pPr>
      <w:r w:rsidRPr="000437FE">
        <w:rPr>
          <w:rFonts w:ascii="Times New Roman" w:hAnsi="Times New Roman" w:cs="Times New Roman"/>
          <w:b/>
          <w:bCs/>
          <w:color w:val="000000" w:themeColor="text1"/>
          <w:szCs w:val="24"/>
        </w:rPr>
        <w:t>Limitations of the Methodology</w:t>
      </w:r>
    </w:p>
    <w:p w14:paraId="776156A7"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Despite its strengths, this methodology has certain limitations. The exclusive reliance on secondary data means that the study does not incorporate the perspectives or experiences of tourists or tourism operators. Additionally, much of the legal literature focuses on developed jurisdictions, which may limit the applicability of findings to emerging tourism markets. However, these limitations do not undermine the validity of the research, as the primary aim is doctrinal analysis rather than empirical generalisation.</w:t>
      </w:r>
    </w:p>
    <w:p w14:paraId="6C4642EB"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Overall, the chosen methodology provides a rigorous and structured framework for analysing the role of contract law in the tourism industry, enabling a clear connection between legal theory, regulation, and practical outcomes.</w:t>
      </w:r>
    </w:p>
    <w:p w14:paraId="7911B28B" w14:textId="5E82341F" w:rsidR="00AB5112" w:rsidRPr="000437FE" w:rsidRDefault="00AB5112" w:rsidP="000437FE">
      <w:pPr>
        <w:spacing w:line="480" w:lineRule="auto"/>
        <w:rPr>
          <w:rStyle w:val="Heading1Char"/>
          <w:rFonts w:ascii="Times New Roman" w:hAnsi="Times New Roman" w:cs="Times New Roman"/>
          <w:b/>
          <w:bCs/>
          <w:color w:val="000000" w:themeColor="text1"/>
          <w:sz w:val="24"/>
          <w:szCs w:val="24"/>
        </w:rPr>
      </w:pPr>
    </w:p>
    <w:p w14:paraId="5B093B2D" w14:textId="77777777" w:rsidR="00AB5112" w:rsidRPr="000437FE" w:rsidRDefault="00AB5112" w:rsidP="00AB5112">
      <w:pPr>
        <w:spacing w:line="480" w:lineRule="auto"/>
        <w:rPr>
          <w:rStyle w:val="Heading1Char"/>
          <w:rFonts w:ascii="Times New Roman" w:hAnsi="Times New Roman" w:cs="Times New Roman"/>
          <w:b/>
          <w:bCs/>
          <w:color w:val="000000" w:themeColor="text1"/>
          <w:sz w:val="24"/>
          <w:szCs w:val="24"/>
        </w:rPr>
      </w:pPr>
    </w:p>
    <w:p w14:paraId="3AD0868B" w14:textId="77777777" w:rsidR="000437FE" w:rsidRPr="000437FE" w:rsidRDefault="000437FE" w:rsidP="00AB5112">
      <w:pPr>
        <w:spacing w:line="480" w:lineRule="auto"/>
        <w:rPr>
          <w:rStyle w:val="Heading1Char"/>
          <w:rFonts w:ascii="Times New Roman" w:hAnsi="Times New Roman" w:cs="Times New Roman"/>
          <w:b/>
          <w:bCs/>
          <w:color w:val="000000" w:themeColor="text1"/>
          <w:sz w:val="24"/>
          <w:szCs w:val="24"/>
        </w:rPr>
      </w:pPr>
    </w:p>
    <w:p w14:paraId="3F8C759A" w14:textId="77777777" w:rsidR="000437FE" w:rsidRPr="000437FE" w:rsidRDefault="000437FE" w:rsidP="00AB5112">
      <w:pPr>
        <w:spacing w:line="480" w:lineRule="auto"/>
        <w:rPr>
          <w:rStyle w:val="Heading1Char"/>
          <w:rFonts w:ascii="Times New Roman" w:hAnsi="Times New Roman" w:cs="Times New Roman"/>
          <w:b/>
          <w:bCs/>
          <w:color w:val="000000" w:themeColor="text1"/>
          <w:sz w:val="24"/>
          <w:szCs w:val="24"/>
        </w:rPr>
      </w:pPr>
    </w:p>
    <w:p w14:paraId="31424D58" w14:textId="77777777" w:rsidR="000437FE" w:rsidRPr="000437FE" w:rsidRDefault="000437FE" w:rsidP="00AB5112">
      <w:pPr>
        <w:spacing w:line="480" w:lineRule="auto"/>
        <w:rPr>
          <w:rStyle w:val="Heading1Char"/>
          <w:rFonts w:ascii="Times New Roman" w:hAnsi="Times New Roman" w:cs="Times New Roman"/>
          <w:b/>
          <w:bCs/>
          <w:color w:val="000000" w:themeColor="text1"/>
          <w:sz w:val="24"/>
          <w:szCs w:val="24"/>
        </w:rPr>
      </w:pPr>
    </w:p>
    <w:p w14:paraId="637CD544" w14:textId="77777777" w:rsidR="000437FE" w:rsidRPr="000437FE" w:rsidRDefault="000437FE" w:rsidP="00AB5112">
      <w:pPr>
        <w:spacing w:line="480" w:lineRule="auto"/>
        <w:rPr>
          <w:rStyle w:val="Heading1Char"/>
          <w:rFonts w:ascii="Times New Roman" w:hAnsi="Times New Roman" w:cs="Times New Roman"/>
          <w:b/>
          <w:bCs/>
          <w:color w:val="000000" w:themeColor="text1"/>
          <w:sz w:val="24"/>
          <w:szCs w:val="24"/>
        </w:rPr>
      </w:pPr>
    </w:p>
    <w:p w14:paraId="12EF5AC1" w14:textId="77777777" w:rsidR="000437FE" w:rsidRPr="000437FE" w:rsidRDefault="000437FE" w:rsidP="00AB5112">
      <w:pPr>
        <w:spacing w:line="480" w:lineRule="auto"/>
        <w:rPr>
          <w:rStyle w:val="Heading1Char"/>
          <w:rFonts w:ascii="Times New Roman" w:hAnsi="Times New Roman" w:cs="Times New Roman"/>
          <w:b/>
          <w:bCs/>
          <w:color w:val="000000" w:themeColor="text1"/>
          <w:sz w:val="24"/>
          <w:szCs w:val="24"/>
        </w:rPr>
      </w:pPr>
    </w:p>
    <w:p w14:paraId="5ED1AFD2" w14:textId="77777777" w:rsidR="000437FE" w:rsidRPr="000437FE" w:rsidRDefault="000437FE" w:rsidP="00AB5112">
      <w:pPr>
        <w:spacing w:line="480" w:lineRule="auto"/>
        <w:rPr>
          <w:rStyle w:val="Heading1Char"/>
          <w:rFonts w:ascii="Times New Roman" w:hAnsi="Times New Roman" w:cs="Times New Roman"/>
          <w:b/>
          <w:bCs/>
          <w:color w:val="000000" w:themeColor="text1"/>
          <w:sz w:val="24"/>
          <w:szCs w:val="24"/>
        </w:rPr>
      </w:pPr>
    </w:p>
    <w:p w14:paraId="33BFA5F9" w14:textId="66A174C3" w:rsidR="00C82410" w:rsidRPr="000437FE" w:rsidRDefault="00A433D7" w:rsidP="00AB5112">
      <w:pPr>
        <w:spacing w:line="480" w:lineRule="auto"/>
        <w:rPr>
          <w:rStyle w:val="Heading1Char"/>
          <w:rFonts w:ascii="Times New Roman" w:hAnsi="Times New Roman" w:cs="Times New Roman"/>
          <w:b/>
          <w:bCs/>
          <w:color w:val="000000" w:themeColor="text1"/>
          <w:sz w:val="24"/>
          <w:szCs w:val="24"/>
        </w:rPr>
      </w:pPr>
      <w:bookmarkStart w:id="4" w:name="_Toc221201958"/>
      <w:r w:rsidRPr="000437FE">
        <w:rPr>
          <w:rStyle w:val="Heading1Char"/>
          <w:rFonts w:ascii="Times New Roman" w:hAnsi="Times New Roman" w:cs="Times New Roman"/>
          <w:b/>
          <w:bCs/>
          <w:color w:val="000000" w:themeColor="text1"/>
          <w:sz w:val="24"/>
          <w:szCs w:val="24"/>
        </w:rPr>
        <w:lastRenderedPageBreak/>
        <w:t>4</w:t>
      </w:r>
      <w:r w:rsidR="00582227" w:rsidRPr="000437FE">
        <w:rPr>
          <w:rStyle w:val="Heading1Char"/>
          <w:rFonts w:ascii="Times New Roman" w:hAnsi="Times New Roman" w:cs="Times New Roman"/>
          <w:b/>
          <w:bCs/>
          <w:color w:val="000000" w:themeColor="text1"/>
          <w:sz w:val="24"/>
          <w:szCs w:val="24"/>
        </w:rPr>
        <w:t xml:space="preserve"> </w:t>
      </w:r>
      <w:r w:rsidR="00160E9C" w:rsidRPr="000437FE">
        <w:rPr>
          <w:rStyle w:val="Heading1Char"/>
          <w:rFonts w:ascii="Times New Roman" w:hAnsi="Times New Roman" w:cs="Times New Roman"/>
          <w:b/>
          <w:bCs/>
          <w:color w:val="000000" w:themeColor="text1"/>
          <w:sz w:val="24"/>
          <w:szCs w:val="24"/>
        </w:rPr>
        <w:t>Finding</w:t>
      </w:r>
      <w:bookmarkEnd w:id="4"/>
    </w:p>
    <w:p w14:paraId="6B656A4D"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The doctrinal analysis reveals that contract law plays a decisive role in shaping legal relationships within the tourism industry, particularly by regulating service delivery, consumer rights, and dispute resolution. One of the most prominent findings is the widespread reliance on </w:t>
      </w:r>
      <w:r w:rsidRPr="000437FE">
        <w:rPr>
          <w:rFonts w:ascii="Times New Roman" w:hAnsi="Times New Roman" w:cs="Times New Roman"/>
          <w:b/>
          <w:bCs/>
          <w:color w:val="000000" w:themeColor="text1"/>
          <w:szCs w:val="24"/>
        </w:rPr>
        <w:t>standard-form contracts</w:t>
      </w:r>
      <w:r w:rsidRPr="000437FE">
        <w:rPr>
          <w:rFonts w:ascii="Times New Roman" w:hAnsi="Times New Roman" w:cs="Times New Roman"/>
          <w:color w:val="000000" w:themeColor="text1"/>
          <w:szCs w:val="24"/>
        </w:rPr>
        <w:t xml:space="preserve"> across tourism sectors such as airlines, accommodation providers, tour operators, and online travel platforms. These contracts are designed to enhance operational efficiency but frequently limit consumer choice and negotiation, reinforcing an imbalance of power between contracting parties.</w:t>
      </w:r>
    </w:p>
    <w:p w14:paraId="2CABF2ED"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The findings indicate that a significant proportion of tourism disputes arise from </w:t>
      </w:r>
      <w:r w:rsidRPr="000437FE">
        <w:rPr>
          <w:rFonts w:ascii="Times New Roman" w:hAnsi="Times New Roman" w:cs="Times New Roman"/>
          <w:b/>
          <w:bCs/>
          <w:color w:val="000000" w:themeColor="text1"/>
          <w:szCs w:val="24"/>
        </w:rPr>
        <w:t>non-performance or partial performance of contractual obligations</w:t>
      </w:r>
      <w:r w:rsidRPr="000437FE">
        <w:rPr>
          <w:rFonts w:ascii="Times New Roman" w:hAnsi="Times New Roman" w:cs="Times New Roman"/>
          <w:color w:val="000000" w:themeColor="text1"/>
          <w:szCs w:val="24"/>
        </w:rPr>
        <w:t>. Common issues include cancelled or delayed transport services, downgraded accommodation, inaccurate representations of facilities, and incomplete package tour delivery. Legal literature confirms that courts increasingly treat pre-contractual representations, including website descriptions and promotional materials, as integral components of the contract. As a result, service providers are held accountable when actual services fail to correspond with advertised promises.</w:t>
      </w:r>
    </w:p>
    <w:p w14:paraId="5B9337C0"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Another important finding concerns the extensive use of </w:t>
      </w:r>
      <w:r w:rsidRPr="000437FE">
        <w:rPr>
          <w:rFonts w:ascii="Times New Roman" w:hAnsi="Times New Roman" w:cs="Times New Roman"/>
          <w:b/>
          <w:bCs/>
          <w:color w:val="000000" w:themeColor="text1"/>
          <w:szCs w:val="24"/>
        </w:rPr>
        <w:t>exclusion and limitation of liability clauses</w:t>
      </w:r>
      <w:r w:rsidRPr="000437FE">
        <w:rPr>
          <w:rFonts w:ascii="Times New Roman" w:hAnsi="Times New Roman" w:cs="Times New Roman"/>
          <w:color w:val="000000" w:themeColor="text1"/>
          <w:szCs w:val="24"/>
        </w:rPr>
        <w:t xml:space="preserve"> in tourism contracts. While these clauses aim to reduce commercial risk, legal analysis demonstrates that courts frequently invalidate them when they lack transparency or conflict with statutory consumer protection standards. This judicial approach reflects an emphasis on substantive fairness rather than strict adherence to contractual freedom.</w:t>
      </w:r>
    </w:p>
    <w:p w14:paraId="39CEAFCB"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The research also highlights the importance of </w:t>
      </w:r>
      <w:r w:rsidRPr="000437FE">
        <w:rPr>
          <w:rFonts w:ascii="Times New Roman" w:hAnsi="Times New Roman" w:cs="Times New Roman"/>
          <w:b/>
          <w:bCs/>
          <w:color w:val="000000" w:themeColor="text1"/>
          <w:szCs w:val="24"/>
        </w:rPr>
        <w:t>implied contractual terms</w:t>
      </w:r>
      <w:r w:rsidRPr="000437FE">
        <w:rPr>
          <w:rFonts w:ascii="Times New Roman" w:hAnsi="Times New Roman" w:cs="Times New Roman"/>
          <w:color w:val="000000" w:themeColor="text1"/>
          <w:szCs w:val="24"/>
        </w:rPr>
        <w:t xml:space="preserve"> in tourism law. Even where contracts are silent, courts often imply obligations related to reasonable care, safety, and </w:t>
      </w:r>
      <w:r w:rsidRPr="000437FE">
        <w:rPr>
          <w:rFonts w:ascii="Times New Roman" w:hAnsi="Times New Roman" w:cs="Times New Roman"/>
          <w:color w:val="000000" w:themeColor="text1"/>
          <w:szCs w:val="24"/>
        </w:rPr>
        <w:lastRenderedPageBreak/>
        <w:t>service quality. These implied terms have proven crucial in protecting tourists, particularly in cases involving unsafe conditions or substandard services. The findings suggest that implied terms function as corrective mechanisms, addressing gaps created by one-sided contractual drafting.</w:t>
      </w:r>
    </w:p>
    <w:p w14:paraId="493ADFEE"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Regulatory frameworks significantly influence tourism contracts, particularly in the context of </w:t>
      </w:r>
      <w:r w:rsidRPr="000437FE">
        <w:rPr>
          <w:rFonts w:ascii="Times New Roman" w:hAnsi="Times New Roman" w:cs="Times New Roman"/>
          <w:b/>
          <w:bCs/>
          <w:color w:val="000000" w:themeColor="text1"/>
          <w:szCs w:val="24"/>
        </w:rPr>
        <w:t>package travel arrangements</w:t>
      </w:r>
      <w:r w:rsidRPr="000437FE">
        <w:rPr>
          <w:rFonts w:ascii="Times New Roman" w:hAnsi="Times New Roman" w:cs="Times New Roman"/>
          <w:color w:val="000000" w:themeColor="text1"/>
          <w:szCs w:val="24"/>
        </w:rPr>
        <w:t>. Regulations impose strict responsibilities on organisers for the overall performance of the package, regardless of third-party involvement. This has strengthened consumer rights to refunds, compensation, and assistance during disruptions, reducing legal uncertainty for tourists.</w:t>
      </w:r>
    </w:p>
    <w:p w14:paraId="72AD777D"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Finally, the findings reveal growing reliance on </w:t>
      </w:r>
      <w:r w:rsidRPr="000437FE">
        <w:rPr>
          <w:rFonts w:ascii="Times New Roman" w:hAnsi="Times New Roman" w:cs="Times New Roman"/>
          <w:b/>
          <w:bCs/>
          <w:color w:val="000000" w:themeColor="text1"/>
          <w:szCs w:val="24"/>
        </w:rPr>
        <w:t>alternative dispute resolution (ADR)</w:t>
      </w:r>
      <w:r w:rsidRPr="000437FE">
        <w:rPr>
          <w:rFonts w:ascii="Times New Roman" w:hAnsi="Times New Roman" w:cs="Times New Roman"/>
          <w:color w:val="000000" w:themeColor="text1"/>
          <w:szCs w:val="24"/>
        </w:rPr>
        <w:t xml:space="preserve"> mechanisms, such as arbitration and mediation. While ADR offers efficiency and cost savings, concerns persist regarding accessibility and fairness, especially when consumers are required to resolve disputes in foreign jurisdictions. Overall, the findings confirm that contract law operates as both a commercial and protective framework within the tourism industry.</w:t>
      </w:r>
    </w:p>
    <w:p w14:paraId="1E57F87D" w14:textId="77777777" w:rsidR="00763D1C" w:rsidRPr="000437FE" w:rsidRDefault="00763D1C" w:rsidP="008C18CC">
      <w:pPr>
        <w:spacing w:line="480" w:lineRule="auto"/>
        <w:rPr>
          <w:rStyle w:val="Heading1Char"/>
          <w:rFonts w:ascii="Times New Roman" w:hAnsi="Times New Roman" w:cs="Times New Roman"/>
          <w:b/>
          <w:bCs/>
          <w:color w:val="000000" w:themeColor="text1"/>
          <w:sz w:val="24"/>
          <w:szCs w:val="24"/>
        </w:rPr>
      </w:pPr>
    </w:p>
    <w:p w14:paraId="5ACC19CF" w14:textId="77777777" w:rsidR="000437FE" w:rsidRPr="000437FE" w:rsidRDefault="000437FE" w:rsidP="008C18CC">
      <w:pPr>
        <w:spacing w:line="480" w:lineRule="auto"/>
        <w:rPr>
          <w:rStyle w:val="Heading1Char"/>
          <w:rFonts w:ascii="Times New Roman" w:hAnsi="Times New Roman" w:cs="Times New Roman"/>
          <w:b/>
          <w:bCs/>
          <w:color w:val="000000" w:themeColor="text1"/>
          <w:sz w:val="24"/>
          <w:szCs w:val="24"/>
        </w:rPr>
      </w:pPr>
    </w:p>
    <w:p w14:paraId="1E6AE2AF" w14:textId="77777777" w:rsidR="000437FE" w:rsidRPr="000437FE" w:rsidRDefault="000437FE" w:rsidP="008C18CC">
      <w:pPr>
        <w:spacing w:line="480" w:lineRule="auto"/>
        <w:rPr>
          <w:rStyle w:val="Heading1Char"/>
          <w:rFonts w:ascii="Times New Roman" w:hAnsi="Times New Roman" w:cs="Times New Roman"/>
          <w:b/>
          <w:bCs/>
          <w:color w:val="000000" w:themeColor="text1"/>
          <w:sz w:val="24"/>
          <w:szCs w:val="24"/>
        </w:rPr>
      </w:pPr>
    </w:p>
    <w:p w14:paraId="6F116D5F" w14:textId="77777777" w:rsidR="00763D1C" w:rsidRPr="000437FE" w:rsidRDefault="00763D1C" w:rsidP="008C18CC">
      <w:pPr>
        <w:spacing w:line="480" w:lineRule="auto"/>
        <w:rPr>
          <w:rStyle w:val="Heading1Char"/>
          <w:rFonts w:ascii="Times New Roman" w:hAnsi="Times New Roman" w:cs="Times New Roman"/>
          <w:b/>
          <w:bCs/>
          <w:color w:val="000000" w:themeColor="text1"/>
          <w:sz w:val="24"/>
          <w:szCs w:val="24"/>
        </w:rPr>
      </w:pPr>
    </w:p>
    <w:p w14:paraId="649559CB" w14:textId="77777777" w:rsidR="00763D1C" w:rsidRPr="000437FE" w:rsidRDefault="00763D1C" w:rsidP="008C18CC">
      <w:pPr>
        <w:spacing w:line="480" w:lineRule="auto"/>
        <w:rPr>
          <w:rStyle w:val="Heading1Char"/>
          <w:rFonts w:ascii="Times New Roman" w:hAnsi="Times New Roman" w:cs="Times New Roman"/>
          <w:b/>
          <w:bCs/>
          <w:color w:val="000000" w:themeColor="text1"/>
          <w:sz w:val="24"/>
          <w:szCs w:val="24"/>
        </w:rPr>
      </w:pPr>
    </w:p>
    <w:p w14:paraId="0CD9F296" w14:textId="77777777" w:rsidR="00763D1C" w:rsidRPr="000437FE" w:rsidRDefault="00763D1C" w:rsidP="008C18CC">
      <w:pPr>
        <w:spacing w:line="480" w:lineRule="auto"/>
        <w:rPr>
          <w:rStyle w:val="Heading1Char"/>
          <w:rFonts w:ascii="Times New Roman" w:hAnsi="Times New Roman" w:cs="Times New Roman"/>
          <w:b/>
          <w:bCs/>
          <w:color w:val="000000" w:themeColor="text1"/>
          <w:sz w:val="24"/>
          <w:szCs w:val="24"/>
        </w:rPr>
      </w:pPr>
    </w:p>
    <w:p w14:paraId="34D3BDA8" w14:textId="77777777" w:rsidR="000437FE" w:rsidRPr="000437FE" w:rsidRDefault="00496E55" w:rsidP="000437FE">
      <w:pPr>
        <w:spacing w:line="480" w:lineRule="auto"/>
        <w:rPr>
          <w:rFonts w:ascii="Times New Roman" w:hAnsi="Times New Roman" w:cs="Times New Roman"/>
          <w:color w:val="000000" w:themeColor="text1"/>
          <w:szCs w:val="24"/>
        </w:rPr>
      </w:pPr>
      <w:bookmarkStart w:id="5" w:name="_Toc221201959"/>
      <w:r w:rsidRPr="000437FE">
        <w:rPr>
          <w:rStyle w:val="Heading1Char"/>
          <w:rFonts w:ascii="Times New Roman" w:hAnsi="Times New Roman" w:cs="Times New Roman"/>
          <w:b/>
          <w:bCs/>
          <w:color w:val="000000" w:themeColor="text1"/>
          <w:sz w:val="24"/>
          <w:szCs w:val="24"/>
        </w:rPr>
        <w:lastRenderedPageBreak/>
        <w:t>5</w:t>
      </w:r>
      <w:r w:rsidR="00F11085" w:rsidRPr="000437FE">
        <w:rPr>
          <w:rStyle w:val="Heading1Char"/>
          <w:rFonts w:ascii="Times New Roman" w:hAnsi="Times New Roman" w:cs="Times New Roman"/>
          <w:b/>
          <w:bCs/>
          <w:color w:val="000000" w:themeColor="text1"/>
          <w:sz w:val="24"/>
          <w:szCs w:val="24"/>
        </w:rPr>
        <w:t>. Discussion</w:t>
      </w:r>
      <w:bookmarkEnd w:id="5"/>
      <w:r w:rsidR="00F11085" w:rsidRPr="000437FE">
        <w:rPr>
          <w:rFonts w:ascii="Times New Roman" w:hAnsi="Times New Roman" w:cs="Times New Roman"/>
          <w:color w:val="000000" w:themeColor="text1"/>
          <w:szCs w:val="24"/>
        </w:rPr>
        <w:t xml:space="preserve"> </w:t>
      </w:r>
      <w:r w:rsidR="00F11085" w:rsidRPr="000437FE">
        <w:rPr>
          <w:rFonts w:ascii="Times New Roman" w:hAnsi="Times New Roman" w:cs="Times New Roman"/>
          <w:color w:val="000000" w:themeColor="text1"/>
          <w:szCs w:val="24"/>
        </w:rPr>
        <w:br/>
      </w:r>
      <w:r w:rsidR="000437FE" w:rsidRPr="000437FE">
        <w:rPr>
          <w:rFonts w:ascii="Times New Roman" w:hAnsi="Times New Roman" w:cs="Times New Roman"/>
          <w:color w:val="000000" w:themeColor="text1"/>
          <w:szCs w:val="24"/>
        </w:rPr>
        <w:t>The findings of this study align closely with existing legal scholarship, reinforcing the view that contract law is fundamental to the governance of tourism transactions. The dominance of standard-form contracts highlights a structural imbalance that challenges traditional notions of contractual consent. While efficiency is necessary in mass tourism markets, the lack of negotiation and consumer understanding raises serious concerns about fairness and enforceability.</w:t>
      </w:r>
    </w:p>
    <w:p w14:paraId="3A1FA169"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Judicial scrutiny of exclusion clauses and unfair terms demonstrates a clear shift away from absolute contractual freedom towards a more consumer-oriented interpretation of contract law. This trend reflects broader developments in consumer protection, where courts and regulators seek to correct power asymmetries inherent in tourism contracting. The findings support scholarly arguments that tourism consumers require enhanced legal protection due to advance payment and delayed service consumption.</w:t>
      </w:r>
    </w:p>
    <w:p w14:paraId="6A8008A4"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The role of implied terms deserves particular attention. By implying obligations related to safety and quality, courts effectively ensure minimum service standards even when contracts attempt to limit liability. This approach strengthens accountability and promotes higher operational standards within the tourism industry, contributing to consumer trust and long-term sustainability.</w:t>
      </w:r>
    </w:p>
    <w:p w14:paraId="4CD87111"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Regulatory intervention, especially in package travel, represents a significant evolution in tourism contract law. By allocating responsibility to organisers, regulations simplify consumer claims and reduce uncertainty caused by fragmented service provision. However, the discussion also recognises the compliance burden placed on smaller tourism enterprises, suggesting a need for balanced implementation.</w:t>
      </w:r>
    </w:p>
    <w:p w14:paraId="26766BD3"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lastRenderedPageBreak/>
        <w:t>Digitalisation has further complicated contractual relationships. Automated booking systems and electronic acceptance raise questions about informed consent and transparency. While courts generally uphold digital contracts, the findings suggest that clearer disclosure obligations are essential to ensure fairness.</w:t>
      </w:r>
    </w:p>
    <w:p w14:paraId="28133E8B"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The discussion also highlights weaknesses exposed by global disruptions such as pandemics. Inconsistent application of force majeure and frustration doctrines revealed shortcomings in contractual risk allocation. This underscores the need for clearer drafting and more equitable distribution of risk in future tourism contracts.</w:t>
      </w:r>
    </w:p>
    <w:p w14:paraId="05531984"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Overall, the discussion confirms that contract law must continue to evolve alongside technological, economic, and social changes to remain effective within the tourism sector.</w:t>
      </w:r>
    </w:p>
    <w:p w14:paraId="0087A4A1" w14:textId="60068736" w:rsidR="002F73F5" w:rsidRPr="000437FE" w:rsidRDefault="002F73F5" w:rsidP="000437FE">
      <w:pPr>
        <w:spacing w:line="480" w:lineRule="auto"/>
        <w:rPr>
          <w:rFonts w:ascii="Times New Roman" w:hAnsi="Times New Roman" w:cs="Times New Roman"/>
          <w:color w:val="000000" w:themeColor="text1"/>
          <w:szCs w:val="24"/>
        </w:rPr>
      </w:pPr>
    </w:p>
    <w:p w14:paraId="14B8DC7B" w14:textId="77777777" w:rsidR="000437FE" w:rsidRPr="000437FE" w:rsidRDefault="000437FE" w:rsidP="000437FE">
      <w:pPr>
        <w:spacing w:line="480" w:lineRule="auto"/>
        <w:rPr>
          <w:rFonts w:ascii="Times New Roman" w:hAnsi="Times New Roman" w:cs="Times New Roman"/>
          <w:color w:val="000000" w:themeColor="text1"/>
          <w:szCs w:val="24"/>
        </w:rPr>
      </w:pPr>
    </w:p>
    <w:p w14:paraId="1EC72906" w14:textId="77777777" w:rsidR="00825AA5" w:rsidRPr="000437FE" w:rsidRDefault="00825AA5" w:rsidP="002F73F5">
      <w:pPr>
        <w:spacing w:line="480" w:lineRule="auto"/>
        <w:rPr>
          <w:rFonts w:ascii="Times New Roman" w:hAnsi="Times New Roman" w:cs="Times New Roman"/>
          <w:color w:val="000000" w:themeColor="text1"/>
          <w:szCs w:val="24"/>
        </w:rPr>
      </w:pPr>
    </w:p>
    <w:p w14:paraId="428CD55F" w14:textId="77777777" w:rsidR="00825AA5" w:rsidRPr="000437FE" w:rsidRDefault="00825AA5" w:rsidP="002F73F5">
      <w:pPr>
        <w:spacing w:line="480" w:lineRule="auto"/>
        <w:rPr>
          <w:rFonts w:ascii="Times New Roman" w:hAnsi="Times New Roman" w:cs="Times New Roman"/>
          <w:color w:val="000000" w:themeColor="text1"/>
          <w:szCs w:val="24"/>
        </w:rPr>
      </w:pPr>
    </w:p>
    <w:p w14:paraId="1C269F19" w14:textId="77777777" w:rsidR="00825AA5" w:rsidRPr="000437FE" w:rsidRDefault="00825AA5" w:rsidP="002F73F5">
      <w:pPr>
        <w:spacing w:line="480" w:lineRule="auto"/>
        <w:rPr>
          <w:rFonts w:ascii="Times New Roman" w:hAnsi="Times New Roman" w:cs="Times New Roman"/>
          <w:color w:val="000000" w:themeColor="text1"/>
          <w:szCs w:val="24"/>
        </w:rPr>
      </w:pPr>
    </w:p>
    <w:p w14:paraId="1FF13E4C" w14:textId="77777777" w:rsidR="00825AA5" w:rsidRPr="000437FE" w:rsidRDefault="00825AA5" w:rsidP="002F73F5">
      <w:pPr>
        <w:spacing w:line="480" w:lineRule="auto"/>
        <w:rPr>
          <w:rFonts w:ascii="Times New Roman" w:hAnsi="Times New Roman" w:cs="Times New Roman"/>
          <w:color w:val="000000" w:themeColor="text1"/>
          <w:szCs w:val="24"/>
        </w:rPr>
      </w:pPr>
    </w:p>
    <w:p w14:paraId="69E9907A" w14:textId="77777777" w:rsidR="002F73F5" w:rsidRDefault="002F73F5" w:rsidP="002F73F5">
      <w:pPr>
        <w:spacing w:line="480" w:lineRule="auto"/>
        <w:rPr>
          <w:rFonts w:ascii="Times New Roman" w:hAnsi="Times New Roman" w:cs="Times New Roman"/>
          <w:color w:val="000000" w:themeColor="text1"/>
          <w:szCs w:val="24"/>
        </w:rPr>
      </w:pPr>
    </w:p>
    <w:p w14:paraId="08B2754C" w14:textId="77777777" w:rsidR="000437FE" w:rsidRDefault="000437FE" w:rsidP="002F73F5">
      <w:pPr>
        <w:spacing w:line="480" w:lineRule="auto"/>
        <w:rPr>
          <w:rFonts w:ascii="Times New Roman" w:hAnsi="Times New Roman" w:cs="Times New Roman"/>
          <w:color w:val="000000" w:themeColor="text1"/>
          <w:szCs w:val="24"/>
        </w:rPr>
      </w:pPr>
    </w:p>
    <w:p w14:paraId="6454E5B3" w14:textId="77777777" w:rsidR="000437FE" w:rsidRPr="000437FE" w:rsidRDefault="000437FE" w:rsidP="002F73F5">
      <w:pPr>
        <w:spacing w:line="480" w:lineRule="auto"/>
        <w:rPr>
          <w:rFonts w:ascii="Times New Roman" w:hAnsi="Times New Roman" w:cs="Times New Roman"/>
          <w:color w:val="000000" w:themeColor="text1"/>
          <w:szCs w:val="24"/>
        </w:rPr>
      </w:pPr>
    </w:p>
    <w:p w14:paraId="79D705A5" w14:textId="77777777" w:rsidR="000437FE" w:rsidRPr="000437FE" w:rsidRDefault="00EB264E" w:rsidP="000437FE">
      <w:pPr>
        <w:spacing w:line="480" w:lineRule="auto"/>
        <w:rPr>
          <w:rFonts w:ascii="Times New Roman" w:hAnsi="Times New Roman" w:cs="Times New Roman"/>
          <w:color w:val="000000" w:themeColor="text1"/>
          <w:szCs w:val="24"/>
        </w:rPr>
      </w:pPr>
      <w:bookmarkStart w:id="6" w:name="_Toc221201960"/>
      <w:r w:rsidRPr="000437FE">
        <w:rPr>
          <w:rStyle w:val="Heading1Char"/>
          <w:rFonts w:ascii="Times New Roman" w:hAnsi="Times New Roman" w:cs="Times New Roman"/>
          <w:b/>
          <w:bCs/>
          <w:color w:val="000000" w:themeColor="text1"/>
          <w:sz w:val="24"/>
          <w:szCs w:val="24"/>
        </w:rPr>
        <w:lastRenderedPageBreak/>
        <w:t>6</w:t>
      </w:r>
      <w:r w:rsidR="00F11085" w:rsidRPr="000437FE">
        <w:rPr>
          <w:rStyle w:val="Heading1Char"/>
          <w:rFonts w:ascii="Times New Roman" w:hAnsi="Times New Roman" w:cs="Times New Roman"/>
          <w:b/>
          <w:bCs/>
          <w:color w:val="000000" w:themeColor="text1"/>
          <w:sz w:val="24"/>
          <w:szCs w:val="24"/>
        </w:rPr>
        <w:t>. Conclusion</w:t>
      </w:r>
      <w:bookmarkEnd w:id="6"/>
      <w:r w:rsidR="00F11085" w:rsidRPr="000437FE">
        <w:rPr>
          <w:rFonts w:ascii="Times New Roman" w:hAnsi="Times New Roman" w:cs="Times New Roman"/>
          <w:b/>
          <w:bCs/>
          <w:color w:val="000000" w:themeColor="text1"/>
          <w:szCs w:val="24"/>
        </w:rPr>
        <w:t xml:space="preserve"> </w:t>
      </w:r>
      <w:r w:rsidR="00F11085" w:rsidRPr="000437FE">
        <w:rPr>
          <w:rFonts w:ascii="Times New Roman" w:hAnsi="Times New Roman" w:cs="Times New Roman"/>
          <w:color w:val="000000" w:themeColor="text1"/>
          <w:szCs w:val="24"/>
        </w:rPr>
        <w:br/>
      </w:r>
      <w:r w:rsidR="000437FE" w:rsidRPr="000437FE">
        <w:rPr>
          <w:rFonts w:ascii="Times New Roman" w:hAnsi="Times New Roman" w:cs="Times New Roman"/>
          <w:color w:val="000000" w:themeColor="text1"/>
          <w:szCs w:val="24"/>
        </w:rPr>
        <w:t>This study has examined the role of contract law in the tourism industry, demonstrating its critical importance in regulating service provision, protecting consumers, and resolving disputes. Tourism contracts are inherently complex due to advance payments, delayed performance, and cross-border transactions, making legal certainty essential for both consumers and service providers. The analysis confirms that while standard-form contracts enhance efficiency, they often create power imbalances that necessitate judicial and regulatory intervention.</w:t>
      </w:r>
    </w:p>
    <w:p w14:paraId="4900879F"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Contract law, supported by consumer protection regulations, plays a vital role in addressing unfair terms, misrepresentation, and breaches of contract. The use of implied terms and judicial scrutiny of exclusion clauses strengthens consumer protection and promotes accountability within the tourism sector. Regulatory frameworks, particularly in package travel, further enhance consumer confidence by allocating clear responsibility for service performance.</w:t>
      </w:r>
    </w:p>
    <w:p w14:paraId="345FC231"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Overall, contract law functions not only as a commercial mechanism but also as a protective and stabilising framework for the tourism industry. As tourism continues to evolve through digitalisation and global uncertainty, contract law must adapt to ensure fairness, transparency, and sustainability in tourism transactions.</w:t>
      </w:r>
    </w:p>
    <w:p w14:paraId="7A3B17D3" w14:textId="58A9AD10" w:rsidR="002F73F5" w:rsidRPr="000437FE" w:rsidRDefault="002F73F5" w:rsidP="000437FE">
      <w:pPr>
        <w:spacing w:line="480" w:lineRule="auto"/>
        <w:rPr>
          <w:rFonts w:ascii="Times New Roman" w:hAnsi="Times New Roman" w:cs="Times New Roman"/>
          <w:color w:val="000000" w:themeColor="text1"/>
          <w:szCs w:val="24"/>
        </w:rPr>
      </w:pPr>
    </w:p>
    <w:p w14:paraId="39171F1E" w14:textId="77777777" w:rsidR="00151724" w:rsidRPr="000437FE" w:rsidRDefault="00151724" w:rsidP="00013DBD">
      <w:pPr>
        <w:spacing w:line="480" w:lineRule="auto"/>
        <w:rPr>
          <w:rFonts w:ascii="Times New Roman" w:hAnsi="Times New Roman" w:cs="Times New Roman"/>
          <w:color w:val="000000" w:themeColor="text1"/>
          <w:szCs w:val="24"/>
          <w:lang w:val="en-US"/>
        </w:rPr>
      </w:pPr>
    </w:p>
    <w:p w14:paraId="3B24A22F" w14:textId="77777777" w:rsidR="00092BBD" w:rsidRPr="000437FE" w:rsidRDefault="00092BBD" w:rsidP="00013DBD">
      <w:pPr>
        <w:spacing w:line="480" w:lineRule="auto"/>
        <w:rPr>
          <w:rFonts w:ascii="Times New Roman" w:hAnsi="Times New Roman" w:cs="Times New Roman"/>
          <w:color w:val="000000" w:themeColor="text1"/>
          <w:szCs w:val="24"/>
          <w:lang w:val="en-US"/>
        </w:rPr>
      </w:pPr>
    </w:p>
    <w:p w14:paraId="0881047A" w14:textId="7810E1B7" w:rsidR="004D7D13" w:rsidRPr="000437FE" w:rsidRDefault="004D7D13" w:rsidP="00013DBD">
      <w:pPr>
        <w:pStyle w:val="Heading1"/>
        <w:spacing w:line="480" w:lineRule="auto"/>
        <w:rPr>
          <w:rFonts w:ascii="Times New Roman" w:hAnsi="Times New Roman" w:cs="Times New Roman"/>
          <w:b/>
          <w:bCs/>
          <w:color w:val="000000" w:themeColor="text1"/>
          <w:sz w:val="24"/>
          <w:szCs w:val="24"/>
        </w:rPr>
      </w:pPr>
      <w:bookmarkStart w:id="7" w:name="_Toc221201961"/>
      <w:r w:rsidRPr="000437FE">
        <w:rPr>
          <w:rFonts w:ascii="Times New Roman" w:hAnsi="Times New Roman" w:cs="Times New Roman"/>
          <w:b/>
          <w:bCs/>
          <w:color w:val="000000" w:themeColor="text1"/>
          <w:sz w:val="24"/>
          <w:szCs w:val="24"/>
        </w:rPr>
        <w:lastRenderedPageBreak/>
        <w:t>Reference List</w:t>
      </w:r>
      <w:bookmarkEnd w:id="7"/>
      <w:r w:rsidRPr="000437FE">
        <w:rPr>
          <w:rFonts w:ascii="Times New Roman" w:hAnsi="Times New Roman" w:cs="Times New Roman"/>
          <w:b/>
          <w:bCs/>
          <w:color w:val="000000" w:themeColor="text1"/>
          <w:sz w:val="24"/>
          <w:szCs w:val="24"/>
        </w:rPr>
        <w:t xml:space="preserve"> </w:t>
      </w:r>
    </w:p>
    <w:p w14:paraId="2953D758"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Bennett, M., &amp; Baird, S. (2018). </w:t>
      </w:r>
      <w:r w:rsidRPr="000437FE">
        <w:rPr>
          <w:rFonts w:ascii="Times New Roman" w:hAnsi="Times New Roman" w:cs="Times New Roman"/>
          <w:i/>
          <w:iCs/>
          <w:color w:val="000000" w:themeColor="text1"/>
          <w:szCs w:val="24"/>
        </w:rPr>
        <w:t>Consumer law and policy in the digital marketplace</w:t>
      </w:r>
      <w:r w:rsidRPr="000437FE">
        <w:rPr>
          <w:rFonts w:ascii="Times New Roman" w:hAnsi="Times New Roman" w:cs="Times New Roman"/>
          <w:color w:val="000000" w:themeColor="text1"/>
          <w:szCs w:val="24"/>
        </w:rPr>
        <w:t>. Cambridge University Press.</w:t>
      </w:r>
    </w:p>
    <w:p w14:paraId="10791633"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Dickerson, T. A. (2021). </w:t>
      </w:r>
      <w:r w:rsidRPr="000437FE">
        <w:rPr>
          <w:rFonts w:ascii="Times New Roman" w:hAnsi="Times New Roman" w:cs="Times New Roman"/>
          <w:i/>
          <w:iCs/>
          <w:color w:val="000000" w:themeColor="text1"/>
          <w:szCs w:val="24"/>
        </w:rPr>
        <w:t>Travel law</w:t>
      </w:r>
      <w:r w:rsidRPr="000437FE">
        <w:rPr>
          <w:rFonts w:ascii="Times New Roman" w:hAnsi="Times New Roman" w:cs="Times New Roman"/>
          <w:color w:val="000000" w:themeColor="text1"/>
          <w:szCs w:val="24"/>
        </w:rPr>
        <w:t xml:space="preserve"> (7th ed.). Law Journal Press.</w:t>
      </w:r>
    </w:p>
    <w:p w14:paraId="10556418"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European Commission. (2022). </w:t>
      </w:r>
      <w:r w:rsidRPr="000437FE">
        <w:rPr>
          <w:rFonts w:ascii="Times New Roman" w:hAnsi="Times New Roman" w:cs="Times New Roman"/>
          <w:i/>
          <w:iCs/>
          <w:color w:val="000000" w:themeColor="text1"/>
          <w:szCs w:val="24"/>
        </w:rPr>
        <w:t>Guidance on the interpretation and application of Directive (EU) 2015/2302 on package travel</w:t>
      </w:r>
      <w:r w:rsidRPr="000437FE">
        <w:rPr>
          <w:rFonts w:ascii="Times New Roman" w:hAnsi="Times New Roman" w:cs="Times New Roman"/>
          <w:color w:val="000000" w:themeColor="text1"/>
          <w:szCs w:val="24"/>
        </w:rPr>
        <w:t xml:space="preserve">. </w:t>
      </w:r>
      <w:hyperlink r:id="rId7" w:tgtFrame="_new" w:history="1">
        <w:r w:rsidRPr="000437FE">
          <w:rPr>
            <w:rStyle w:val="Hyperlink"/>
            <w:rFonts w:ascii="Times New Roman" w:hAnsi="Times New Roman" w:cs="Times New Roman"/>
            <w:szCs w:val="24"/>
          </w:rPr>
          <w:t>https://commission.europa.eu</w:t>
        </w:r>
      </w:hyperlink>
    </w:p>
    <w:p w14:paraId="36ED9DB9"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Hudson, S., &amp; Hudson, L. (2017). </w:t>
      </w:r>
      <w:r w:rsidRPr="000437FE">
        <w:rPr>
          <w:rFonts w:ascii="Times New Roman" w:hAnsi="Times New Roman" w:cs="Times New Roman"/>
          <w:i/>
          <w:iCs/>
          <w:color w:val="000000" w:themeColor="text1"/>
          <w:szCs w:val="24"/>
        </w:rPr>
        <w:t>Marketing for tourism, hospitality and events: A global and digital approach</w:t>
      </w:r>
      <w:r w:rsidRPr="000437FE">
        <w:rPr>
          <w:rFonts w:ascii="Times New Roman" w:hAnsi="Times New Roman" w:cs="Times New Roman"/>
          <w:color w:val="000000" w:themeColor="text1"/>
          <w:szCs w:val="24"/>
        </w:rPr>
        <w:t>. SAGE Publications.</w:t>
      </w:r>
    </w:p>
    <w:p w14:paraId="54C8941A"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McConville, M., &amp; Chui, W. H. (2017). </w:t>
      </w:r>
      <w:r w:rsidRPr="000437FE">
        <w:rPr>
          <w:rFonts w:ascii="Times New Roman" w:hAnsi="Times New Roman" w:cs="Times New Roman"/>
          <w:i/>
          <w:iCs/>
          <w:color w:val="000000" w:themeColor="text1"/>
          <w:szCs w:val="24"/>
        </w:rPr>
        <w:t>Research methods for law</w:t>
      </w:r>
      <w:r w:rsidRPr="000437FE">
        <w:rPr>
          <w:rFonts w:ascii="Times New Roman" w:hAnsi="Times New Roman" w:cs="Times New Roman"/>
          <w:color w:val="000000" w:themeColor="text1"/>
          <w:szCs w:val="24"/>
        </w:rPr>
        <w:t xml:space="preserve"> (2nd ed.). Edinburgh University Press.</w:t>
      </w:r>
    </w:p>
    <w:p w14:paraId="2DE697BE"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Poole, J. (2020). </w:t>
      </w:r>
      <w:r w:rsidRPr="000437FE">
        <w:rPr>
          <w:rFonts w:ascii="Times New Roman" w:hAnsi="Times New Roman" w:cs="Times New Roman"/>
          <w:i/>
          <w:iCs/>
          <w:color w:val="000000" w:themeColor="text1"/>
          <w:szCs w:val="24"/>
        </w:rPr>
        <w:t>Textbook on contract law</w:t>
      </w:r>
      <w:r w:rsidRPr="000437FE">
        <w:rPr>
          <w:rFonts w:ascii="Times New Roman" w:hAnsi="Times New Roman" w:cs="Times New Roman"/>
          <w:color w:val="000000" w:themeColor="text1"/>
          <w:szCs w:val="24"/>
        </w:rPr>
        <w:t xml:space="preserve"> (15th ed.). Oxford University Press.</w:t>
      </w:r>
    </w:p>
    <w:p w14:paraId="025815E4"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Ruhl, J. B. (2020). Contracting in the digital age: Implications for consumer protection. </w:t>
      </w:r>
      <w:r w:rsidRPr="000437FE">
        <w:rPr>
          <w:rFonts w:ascii="Times New Roman" w:hAnsi="Times New Roman" w:cs="Times New Roman"/>
          <w:i/>
          <w:iCs/>
          <w:color w:val="000000" w:themeColor="text1"/>
          <w:szCs w:val="24"/>
        </w:rPr>
        <w:t>Journal of Consumer Policy, 43</w:t>
      </w:r>
      <w:r w:rsidRPr="000437FE">
        <w:rPr>
          <w:rFonts w:ascii="Times New Roman" w:hAnsi="Times New Roman" w:cs="Times New Roman"/>
          <w:color w:val="000000" w:themeColor="text1"/>
          <w:szCs w:val="24"/>
        </w:rPr>
        <w:t>(2), 245–266. https://doi.org/10.1007/s10603-020-09445-1</w:t>
      </w:r>
    </w:p>
    <w:p w14:paraId="084C7258"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Weatherill, S. (2020). </w:t>
      </w:r>
      <w:r w:rsidRPr="000437FE">
        <w:rPr>
          <w:rFonts w:ascii="Times New Roman" w:hAnsi="Times New Roman" w:cs="Times New Roman"/>
          <w:i/>
          <w:iCs/>
          <w:color w:val="000000" w:themeColor="text1"/>
          <w:szCs w:val="24"/>
        </w:rPr>
        <w:t>EU consumer law and policy</w:t>
      </w:r>
      <w:r w:rsidRPr="000437FE">
        <w:rPr>
          <w:rFonts w:ascii="Times New Roman" w:hAnsi="Times New Roman" w:cs="Times New Roman"/>
          <w:color w:val="000000" w:themeColor="text1"/>
          <w:szCs w:val="24"/>
        </w:rPr>
        <w:t xml:space="preserve"> (2nd ed.). Edward Elgar Publishing. https://doi.org/10.4337/9781788979673</w:t>
      </w:r>
    </w:p>
    <w:p w14:paraId="77CB5B61"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Sharpley, R. (2018). Tourism, tourists and society (5th ed.). Routledge.</w:t>
      </w:r>
    </w:p>
    <w:p w14:paraId="4F7D9F06"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Smith, S. L. J. (2015). </w:t>
      </w:r>
      <w:r w:rsidRPr="000437FE">
        <w:rPr>
          <w:rFonts w:ascii="Times New Roman" w:hAnsi="Times New Roman" w:cs="Times New Roman"/>
          <w:i/>
          <w:iCs/>
          <w:color w:val="000000" w:themeColor="text1"/>
          <w:szCs w:val="24"/>
        </w:rPr>
        <w:t>Tourism analysis: A handbook</w:t>
      </w:r>
      <w:r w:rsidRPr="000437FE">
        <w:rPr>
          <w:rFonts w:ascii="Times New Roman" w:hAnsi="Times New Roman" w:cs="Times New Roman"/>
          <w:color w:val="000000" w:themeColor="text1"/>
          <w:szCs w:val="24"/>
        </w:rPr>
        <w:t xml:space="preserve"> (2nd ed.). Routledge.</w:t>
      </w:r>
    </w:p>
    <w:p w14:paraId="214A9168" w14:textId="77777777" w:rsidR="000437FE" w:rsidRPr="000437FE" w:rsidRDefault="000437FE" w:rsidP="000437FE">
      <w:pPr>
        <w:spacing w:line="480" w:lineRule="auto"/>
        <w:rPr>
          <w:rFonts w:ascii="Times New Roman" w:hAnsi="Times New Roman" w:cs="Times New Roman"/>
          <w:color w:val="000000" w:themeColor="text1"/>
          <w:szCs w:val="24"/>
        </w:rPr>
      </w:pPr>
      <w:proofErr w:type="spellStart"/>
      <w:r w:rsidRPr="000437FE">
        <w:rPr>
          <w:rFonts w:ascii="Times New Roman" w:hAnsi="Times New Roman" w:cs="Times New Roman"/>
          <w:color w:val="000000" w:themeColor="text1"/>
          <w:szCs w:val="24"/>
        </w:rPr>
        <w:t>Buhalis</w:t>
      </w:r>
      <w:proofErr w:type="spellEnd"/>
      <w:r w:rsidRPr="000437FE">
        <w:rPr>
          <w:rFonts w:ascii="Times New Roman" w:hAnsi="Times New Roman" w:cs="Times New Roman"/>
          <w:color w:val="000000" w:themeColor="text1"/>
          <w:szCs w:val="24"/>
        </w:rPr>
        <w:t xml:space="preserve">, D., &amp; Law, R. (2008). Progress in information technology and tourism management. </w:t>
      </w:r>
      <w:r w:rsidRPr="000437FE">
        <w:rPr>
          <w:rFonts w:ascii="Times New Roman" w:hAnsi="Times New Roman" w:cs="Times New Roman"/>
          <w:i/>
          <w:iCs/>
          <w:color w:val="000000" w:themeColor="text1"/>
          <w:szCs w:val="24"/>
        </w:rPr>
        <w:t>Tourism Management, 29</w:t>
      </w:r>
      <w:r w:rsidRPr="000437FE">
        <w:rPr>
          <w:rFonts w:ascii="Times New Roman" w:hAnsi="Times New Roman" w:cs="Times New Roman"/>
          <w:color w:val="000000" w:themeColor="text1"/>
          <w:szCs w:val="24"/>
        </w:rPr>
        <w:t xml:space="preserve">(4), 609–623. </w:t>
      </w:r>
      <w:hyperlink r:id="rId8" w:tgtFrame="_new" w:history="1">
        <w:r w:rsidRPr="000437FE">
          <w:rPr>
            <w:rStyle w:val="Hyperlink"/>
            <w:rFonts w:ascii="Times New Roman" w:hAnsi="Times New Roman" w:cs="Times New Roman"/>
            <w:szCs w:val="24"/>
          </w:rPr>
          <w:t>https://doi.org/10.1016/j.tourman.2008.01.005</w:t>
        </w:r>
      </w:hyperlink>
    </w:p>
    <w:p w14:paraId="44B90FA8"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lastRenderedPageBreak/>
        <w:t xml:space="preserve">Guttentag, D. (2015). Airbnb: Disruptive innovation and the rise of an informal tourism accommodation sector. </w:t>
      </w:r>
      <w:r w:rsidRPr="000437FE">
        <w:rPr>
          <w:rFonts w:ascii="Times New Roman" w:hAnsi="Times New Roman" w:cs="Times New Roman"/>
          <w:i/>
          <w:iCs/>
          <w:color w:val="000000" w:themeColor="text1"/>
          <w:szCs w:val="24"/>
        </w:rPr>
        <w:t>Current Issues in Tourism, 18</w:t>
      </w:r>
      <w:r w:rsidRPr="000437FE">
        <w:rPr>
          <w:rFonts w:ascii="Times New Roman" w:hAnsi="Times New Roman" w:cs="Times New Roman"/>
          <w:color w:val="000000" w:themeColor="text1"/>
          <w:szCs w:val="24"/>
        </w:rPr>
        <w:t>(12), 1192–1217. https://doi.org/10.1080/13683500.2013.827159</w:t>
      </w:r>
    </w:p>
    <w:p w14:paraId="0A9A87CF"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Xiang, Z., Magnini, V. P., &amp; Fesenmaier, D. R. (2015). Information technology and consumer </w:t>
      </w:r>
      <w:proofErr w:type="spellStart"/>
      <w:r w:rsidRPr="000437FE">
        <w:rPr>
          <w:rFonts w:ascii="Times New Roman" w:hAnsi="Times New Roman" w:cs="Times New Roman"/>
          <w:color w:val="000000" w:themeColor="text1"/>
          <w:szCs w:val="24"/>
        </w:rPr>
        <w:t>behavior</w:t>
      </w:r>
      <w:proofErr w:type="spellEnd"/>
      <w:r w:rsidRPr="000437FE">
        <w:rPr>
          <w:rFonts w:ascii="Times New Roman" w:hAnsi="Times New Roman" w:cs="Times New Roman"/>
          <w:color w:val="000000" w:themeColor="text1"/>
          <w:szCs w:val="24"/>
        </w:rPr>
        <w:t xml:space="preserve"> in travel. </w:t>
      </w:r>
      <w:r w:rsidRPr="000437FE">
        <w:rPr>
          <w:rFonts w:ascii="Times New Roman" w:hAnsi="Times New Roman" w:cs="Times New Roman"/>
          <w:i/>
          <w:iCs/>
          <w:color w:val="000000" w:themeColor="text1"/>
          <w:szCs w:val="24"/>
        </w:rPr>
        <w:t>Tourism Management, 47</w:t>
      </w:r>
      <w:r w:rsidRPr="000437FE">
        <w:rPr>
          <w:rFonts w:ascii="Times New Roman" w:hAnsi="Times New Roman" w:cs="Times New Roman"/>
          <w:color w:val="000000" w:themeColor="text1"/>
          <w:szCs w:val="24"/>
        </w:rPr>
        <w:t>, 244–259. https://doi.org/10.1016/j.tourman.2014.09.010</w:t>
      </w:r>
    </w:p>
    <w:p w14:paraId="6558D9A1"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United Nations World Tourism Organization. (2021). </w:t>
      </w:r>
      <w:r w:rsidRPr="000437FE">
        <w:rPr>
          <w:rFonts w:ascii="Times New Roman" w:hAnsi="Times New Roman" w:cs="Times New Roman"/>
          <w:i/>
          <w:iCs/>
          <w:color w:val="000000" w:themeColor="text1"/>
          <w:szCs w:val="24"/>
        </w:rPr>
        <w:t>International code for the protection of tourists</w:t>
      </w:r>
      <w:r w:rsidRPr="000437FE">
        <w:rPr>
          <w:rFonts w:ascii="Times New Roman" w:hAnsi="Times New Roman" w:cs="Times New Roman"/>
          <w:color w:val="000000" w:themeColor="text1"/>
          <w:szCs w:val="24"/>
        </w:rPr>
        <w:t xml:space="preserve">. </w:t>
      </w:r>
      <w:hyperlink r:id="rId9" w:tgtFrame="_new" w:history="1">
        <w:r w:rsidRPr="000437FE">
          <w:rPr>
            <w:rStyle w:val="Hyperlink"/>
            <w:rFonts w:ascii="Times New Roman" w:hAnsi="Times New Roman" w:cs="Times New Roman"/>
            <w:szCs w:val="24"/>
          </w:rPr>
          <w:t>https://www.unwto.org</w:t>
        </w:r>
      </w:hyperlink>
    </w:p>
    <w:p w14:paraId="1CA1CFA1" w14:textId="77777777" w:rsidR="000437FE" w:rsidRPr="000437FE" w:rsidRDefault="000437FE" w:rsidP="000437FE">
      <w:pPr>
        <w:spacing w:line="480" w:lineRule="auto"/>
        <w:rPr>
          <w:rFonts w:ascii="Times New Roman" w:hAnsi="Times New Roman" w:cs="Times New Roman"/>
          <w:color w:val="000000" w:themeColor="text1"/>
          <w:szCs w:val="24"/>
        </w:rPr>
      </w:pPr>
      <w:r w:rsidRPr="000437FE">
        <w:rPr>
          <w:rFonts w:ascii="Times New Roman" w:hAnsi="Times New Roman" w:cs="Times New Roman"/>
          <w:color w:val="000000" w:themeColor="text1"/>
          <w:szCs w:val="24"/>
        </w:rPr>
        <w:t xml:space="preserve">European Parliament. (2019). </w:t>
      </w:r>
      <w:r w:rsidRPr="000437FE">
        <w:rPr>
          <w:rFonts w:ascii="Times New Roman" w:hAnsi="Times New Roman" w:cs="Times New Roman"/>
          <w:i/>
          <w:iCs/>
          <w:color w:val="000000" w:themeColor="text1"/>
          <w:szCs w:val="24"/>
        </w:rPr>
        <w:t>Consumer rights in travel and tourism</w:t>
      </w:r>
      <w:r w:rsidRPr="000437FE">
        <w:rPr>
          <w:rFonts w:ascii="Times New Roman" w:hAnsi="Times New Roman" w:cs="Times New Roman"/>
          <w:color w:val="000000" w:themeColor="text1"/>
          <w:szCs w:val="24"/>
        </w:rPr>
        <w:t xml:space="preserve">. </w:t>
      </w:r>
      <w:hyperlink r:id="rId10" w:tgtFrame="_new" w:history="1">
        <w:r w:rsidRPr="000437FE">
          <w:rPr>
            <w:rStyle w:val="Hyperlink"/>
            <w:rFonts w:ascii="Times New Roman" w:hAnsi="Times New Roman" w:cs="Times New Roman"/>
            <w:szCs w:val="24"/>
          </w:rPr>
          <w:t>https://www.europarl.europa.eu</w:t>
        </w:r>
      </w:hyperlink>
    </w:p>
    <w:p w14:paraId="18D123F1" w14:textId="77777777" w:rsidR="00F11085" w:rsidRPr="000437FE" w:rsidRDefault="00F11085" w:rsidP="000437FE">
      <w:pPr>
        <w:spacing w:line="480" w:lineRule="auto"/>
        <w:rPr>
          <w:rFonts w:ascii="Times New Roman" w:hAnsi="Times New Roman" w:cs="Times New Roman"/>
          <w:color w:val="000000" w:themeColor="text1"/>
          <w:szCs w:val="24"/>
          <w:lang w:val="en-US"/>
        </w:rPr>
      </w:pPr>
    </w:p>
    <w:sectPr w:rsidR="00F11085" w:rsidRPr="000437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2"/>
  </w:num>
  <w:num w:numId="32" w16cid:durableId="1795828787">
    <w:abstractNumId w:val="15"/>
  </w:num>
  <w:num w:numId="33" w16cid:durableId="134840506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0EF9"/>
    <w:rsid w:val="000318AA"/>
    <w:rsid w:val="000437FE"/>
    <w:rsid w:val="000512A3"/>
    <w:rsid w:val="0009281E"/>
    <w:rsid w:val="00092BBD"/>
    <w:rsid w:val="000C4AFA"/>
    <w:rsid w:val="000D12EF"/>
    <w:rsid w:val="000E04F4"/>
    <w:rsid w:val="000E1A2C"/>
    <w:rsid w:val="000F369F"/>
    <w:rsid w:val="00151724"/>
    <w:rsid w:val="00160E9C"/>
    <w:rsid w:val="00174C04"/>
    <w:rsid w:val="00183304"/>
    <w:rsid w:val="0018722F"/>
    <w:rsid w:val="001F1C7B"/>
    <w:rsid w:val="0023731E"/>
    <w:rsid w:val="00253A27"/>
    <w:rsid w:val="0025617E"/>
    <w:rsid w:val="002576A9"/>
    <w:rsid w:val="00275EAE"/>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35AB0"/>
    <w:rsid w:val="00654B4B"/>
    <w:rsid w:val="006640E0"/>
    <w:rsid w:val="00664D7C"/>
    <w:rsid w:val="006D483F"/>
    <w:rsid w:val="00714A73"/>
    <w:rsid w:val="007469A5"/>
    <w:rsid w:val="00763D1C"/>
    <w:rsid w:val="00770D56"/>
    <w:rsid w:val="007F2D81"/>
    <w:rsid w:val="00810849"/>
    <w:rsid w:val="00825AA5"/>
    <w:rsid w:val="008302E2"/>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551BB"/>
    <w:rsid w:val="00986E2A"/>
    <w:rsid w:val="00A22E5D"/>
    <w:rsid w:val="00A433D7"/>
    <w:rsid w:val="00A56F7D"/>
    <w:rsid w:val="00A63241"/>
    <w:rsid w:val="00A76B20"/>
    <w:rsid w:val="00AB5112"/>
    <w:rsid w:val="00AD05F9"/>
    <w:rsid w:val="00B02610"/>
    <w:rsid w:val="00B06124"/>
    <w:rsid w:val="00B425D9"/>
    <w:rsid w:val="00B6174C"/>
    <w:rsid w:val="00B75166"/>
    <w:rsid w:val="00BA1A47"/>
    <w:rsid w:val="00BD23A3"/>
    <w:rsid w:val="00BD4725"/>
    <w:rsid w:val="00BE2744"/>
    <w:rsid w:val="00BF0D10"/>
    <w:rsid w:val="00C1597C"/>
    <w:rsid w:val="00C82410"/>
    <w:rsid w:val="00CC17BF"/>
    <w:rsid w:val="00CE4EE4"/>
    <w:rsid w:val="00D1330E"/>
    <w:rsid w:val="00D16B77"/>
    <w:rsid w:val="00D33052"/>
    <w:rsid w:val="00D346FC"/>
    <w:rsid w:val="00D67892"/>
    <w:rsid w:val="00D74A74"/>
    <w:rsid w:val="00D84E95"/>
    <w:rsid w:val="00DD48B2"/>
    <w:rsid w:val="00DF3FD0"/>
    <w:rsid w:val="00E031DE"/>
    <w:rsid w:val="00E34C40"/>
    <w:rsid w:val="00E47DA5"/>
    <w:rsid w:val="00E65C9D"/>
    <w:rsid w:val="00EA7FD8"/>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ourman.2008.01.005" TargetMode="External"/><Relationship Id="rId3" Type="http://schemas.openxmlformats.org/officeDocument/2006/relationships/styles" Target="styles.xml"/><Relationship Id="rId7" Type="http://schemas.openxmlformats.org/officeDocument/2006/relationships/hyperlink" Target="https://commission.europa.e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uroparl.europa.eu" TargetMode="External"/><Relationship Id="rId4" Type="http://schemas.openxmlformats.org/officeDocument/2006/relationships/settings" Target="settings.xml"/><Relationship Id="rId9" Type="http://schemas.openxmlformats.org/officeDocument/2006/relationships/hyperlink" Target="https://www.unwt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3946</Words>
  <Characters>22498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2</cp:revision>
  <dcterms:created xsi:type="dcterms:W3CDTF">2026-02-05T11:09:00Z</dcterms:created>
  <dcterms:modified xsi:type="dcterms:W3CDTF">2026-02-05T11:09:00Z</dcterms:modified>
</cp:coreProperties>
</file>