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EB539D" w14:textId="77777777" w:rsidR="00D5591D" w:rsidRDefault="00000000">
      <w:pPr>
        <w:spacing w:before="1600"/>
        <w:jc w:val="center"/>
      </w:pPr>
      <w:r>
        <w:rPr>
          <w:b/>
          <w:sz w:val="32"/>
        </w:rPr>
        <w:t>Sustainable Management of Cultural Heritage Sites</w:t>
      </w:r>
    </w:p>
    <w:p w14:paraId="5BF360E9" w14:textId="77777777" w:rsidR="00D5591D" w:rsidRDefault="00000000">
      <w:pPr>
        <w:jc w:val="center"/>
      </w:pPr>
      <w:r>
        <w:t>M22 Cultural Heritage Management</w:t>
      </w:r>
    </w:p>
    <w:p w14:paraId="22D9B14C" w14:textId="77777777" w:rsidR="00D5591D" w:rsidRDefault="00000000">
      <w:pPr>
        <w:jc w:val="center"/>
      </w:pPr>
      <w:r>
        <w:t>Detailed Project Report</w:t>
      </w:r>
    </w:p>
    <w:p w14:paraId="1473849B" w14:textId="77777777" w:rsidR="00D5591D" w:rsidRDefault="00000000">
      <w:pPr>
        <w:jc w:val="center"/>
      </w:pPr>
      <w:r>
        <w:t>Option 1: Sustainable Management of Cultural Heritage Sites</w:t>
      </w:r>
    </w:p>
    <w:p w14:paraId="231BE4B2" w14:textId="77777777" w:rsidR="00D5591D" w:rsidRDefault="00000000">
      <w:pPr>
        <w:jc w:val="center"/>
      </w:pPr>
      <w:r>
        <w:t>Date: 18 May 2026</w:t>
      </w:r>
    </w:p>
    <w:p w14:paraId="00215809" w14:textId="77777777" w:rsidR="00D5591D" w:rsidRDefault="00000000">
      <w:r>
        <w:br w:type="page"/>
      </w:r>
    </w:p>
    <w:p w14:paraId="1A3AFCCE" w14:textId="77777777" w:rsidR="00D5591D" w:rsidRDefault="00000000">
      <w:pPr>
        <w:pStyle w:val="Heading1"/>
      </w:pPr>
      <w:r>
        <w:lastRenderedPageBreak/>
        <w:t>Table of Contents</w:t>
      </w:r>
    </w:p>
    <w:p w14:paraId="640132C4" w14:textId="77777777" w:rsidR="00D5591D" w:rsidRDefault="00000000">
      <w:pPr>
        <w:ind w:left="360"/>
      </w:pPr>
      <w:r>
        <w:t>Abstract</w:t>
      </w:r>
    </w:p>
    <w:p w14:paraId="1D057FCC" w14:textId="77777777" w:rsidR="00D5591D" w:rsidRDefault="00000000">
      <w:pPr>
        <w:ind w:left="360"/>
      </w:pPr>
      <w:r>
        <w:t>Introduction</w:t>
      </w:r>
    </w:p>
    <w:p w14:paraId="7704850E" w14:textId="77777777" w:rsidR="00D5591D" w:rsidRDefault="00000000">
      <w:pPr>
        <w:ind w:left="360"/>
      </w:pPr>
      <w:r>
        <w:t>Literature Review</w:t>
      </w:r>
    </w:p>
    <w:p w14:paraId="03716306" w14:textId="77777777" w:rsidR="00D5591D" w:rsidRDefault="00000000">
      <w:pPr>
        <w:ind w:left="360"/>
      </w:pPr>
      <w:r>
        <w:t>Methodology</w:t>
      </w:r>
    </w:p>
    <w:p w14:paraId="2FF09740" w14:textId="77777777" w:rsidR="00D5591D" w:rsidRDefault="00000000">
      <w:pPr>
        <w:ind w:left="360"/>
      </w:pPr>
      <w:r>
        <w:t>Findings</w:t>
      </w:r>
    </w:p>
    <w:p w14:paraId="3BE74353" w14:textId="77777777" w:rsidR="00D5591D" w:rsidRDefault="00000000">
      <w:pPr>
        <w:ind w:left="360"/>
      </w:pPr>
      <w:r>
        <w:t>Discussion</w:t>
      </w:r>
    </w:p>
    <w:p w14:paraId="320E8F29" w14:textId="77777777" w:rsidR="00D5591D" w:rsidRDefault="00000000">
      <w:pPr>
        <w:ind w:left="360"/>
      </w:pPr>
      <w:r>
        <w:t>Conclusion</w:t>
      </w:r>
    </w:p>
    <w:p w14:paraId="7396E0B9" w14:textId="77777777" w:rsidR="00D5591D" w:rsidRDefault="00000000">
      <w:pPr>
        <w:ind w:left="360"/>
      </w:pPr>
      <w:r>
        <w:t>References</w:t>
      </w:r>
    </w:p>
    <w:p w14:paraId="7E380852" w14:textId="77777777" w:rsidR="00D5591D" w:rsidRDefault="00000000">
      <w:pPr>
        <w:ind w:left="360"/>
      </w:pPr>
      <w:r>
        <w:t>Appendices</w:t>
      </w:r>
    </w:p>
    <w:p w14:paraId="46A44061" w14:textId="77777777" w:rsidR="00D5591D" w:rsidRDefault="00000000">
      <w:r>
        <w:br w:type="page"/>
      </w:r>
    </w:p>
    <w:p w14:paraId="26469631" w14:textId="77777777" w:rsidR="00D5591D" w:rsidRDefault="00000000">
      <w:pPr>
        <w:pStyle w:val="Heading1"/>
      </w:pPr>
      <w:r>
        <w:lastRenderedPageBreak/>
        <w:t>Abstract</w:t>
      </w:r>
    </w:p>
    <w:p w14:paraId="7CFC9E2E" w14:textId="77777777" w:rsidR="00D5591D" w:rsidRDefault="00000000">
      <w:pPr>
        <w:ind w:firstLine="720"/>
      </w:pPr>
      <w:r>
        <w:t>This report examines sustainable management as a practical and ethical requirement for cultural heritage sites. Cultural heritage management is understood as the coordinated process of identifying, conserving, interpreting and using heritage places without exhausting the values that make them significant. The report argues that sustainability in heritage sites is not limited to environmental care. It also requires social legitimacy, economic realism, legal protection, participatory governance and long-term conservation planning. Using a qualitative desk-based methodology, the report synthesises international heritage guidance, academic literature and real-world examples from World Heritage and nationally significant sites. The findings show that sustainable site management depends on 5 connected practices: values-led conservation, visitor management, community participation, institutional coordination and adaptive monitoring. Heritage tourism can generate employment, identity and conservation funding, but it can also accelerate physical decay, crowding, displacement, commercialisation and climate vulnerability when managed narrowly as a visitor economy. The discussion therefore proposes an integrated model in which government agencies provide legal authority and resources, heritage organisations provide technical standards, and local communities act as rights-holders and co-managers rather than passive beneficiaries. The report concludes that cultural heritage sites remain sustainable only when conservation, access and local wellbeing are treated as interdependent outcomes rather than competing goals.</w:t>
      </w:r>
    </w:p>
    <w:p w14:paraId="024D3663" w14:textId="77777777" w:rsidR="00D5591D" w:rsidRDefault="00000000">
      <w:pPr>
        <w:pStyle w:val="Heading1"/>
      </w:pPr>
      <w:r>
        <w:t>Introduction</w:t>
      </w:r>
    </w:p>
    <w:p w14:paraId="672C2830" w14:textId="77777777" w:rsidR="00D5591D" w:rsidRDefault="00000000">
      <w:pPr>
        <w:ind w:firstLine="720"/>
      </w:pPr>
      <w:r>
        <w:t xml:space="preserve">Cultural heritage sites are physical places through which societies remember, interpret and debate the past. They include archaeological remains, historic buildings, sacred landscapes, </w:t>
      </w:r>
      <w:r>
        <w:lastRenderedPageBreak/>
        <w:t>cultural routes, industrial sites, monuments, museums and urban ensembles. Their value is not only material. A site can contain historical, aesthetic, social, spiritual, scientific and economic meanings at the same time. For this reason, cultural heritage management is best understood as a structured process for protecting cultural significance while allowing present communities to use and learn from heritage. UNESCO’s 1972 World Heritage Convention established an international duty to identify, protect, conserve, present and transmit cultural and natural heritage of outstanding universal value to future generations (UNESCO, 1972). That principle remains central, but current practice increasingly recognises that heritage cannot be preserved by fencing it off from society. It must be managed as a living resource within changing communities, economies and environments.</w:t>
      </w:r>
    </w:p>
    <w:p w14:paraId="240EAA6F" w14:textId="77777777" w:rsidR="00D5591D" w:rsidRDefault="00000000">
      <w:pPr>
        <w:ind w:firstLine="720"/>
      </w:pPr>
      <w:r>
        <w:t>The importance of sustainable management has grown because heritage sites now face pressures that are more complex than simple neglect. Tourism growth, urban development, climate change, pollution, weak maintenance budgets, conflict, poor interpretation and unequal decision-making can all damage heritage values. At the same time, public access is necessary because heritage gains meaning through education, memory, identity and shared experience. The central challenge is therefore not whether visitors should enter heritage sites, but how access can be planned so that it supports conservation instead of undermining it. UNESCO’s sustainable tourism approach stresses dialogue and stakeholder cooperation so that tourism planning is integrated with heritage management at destination level (UNESCO World Heritage Centre, n.d.). This report adopts that integrated view and treats sustainability as a balance between protection, use and community benefit.</w:t>
      </w:r>
    </w:p>
    <w:p w14:paraId="61AD2B81" w14:textId="77777777" w:rsidR="00D5591D" w:rsidRDefault="00000000">
      <w:pPr>
        <w:ind w:firstLine="720"/>
      </w:pPr>
      <w:r>
        <w:t xml:space="preserve">The report focuses on the sustainable management of cultural heritage sites. It first reviews key literature on heritage values, conservation principles, tourism pressure, community </w:t>
      </w:r>
      <w:r>
        <w:lastRenderedPageBreak/>
        <w:t>participation and governance. It then explains the desk-based methodology used to develop the analysis. The findings identify the main requirements for sustainable heritage management and provide real-world examples of how sites can be managed through visitor controls, conservation planning, local participation and institutional cooperation. The discussion evaluates tensions between conservation and tourism, especially where economic development is used to justify high visitor numbers or commercial development. The conclusion sets out the argument that sustainable heritage site management is a continuous governance process, not a one-time conservation project.</w:t>
      </w:r>
    </w:p>
    <w:p w14:paraId="4B6AE322" w14:textId="77777777" w:rsidR="00D5591D" w:rsidRDefault="00000000">
      <w:pPr>
        <w:pStyle w:val="Heading1"/>
      </w:pPr>
      <w:r>
        <w:t>Literature Review</w:t>
      </w:r>
    </w:p>
    <w:p w14:paraId="5E985F13" w14:textId="77777777" w:rsidR="00D5591D" w:rsidRDefault="00000000">
      <w:pPr>
        <w:ind w:firstLine="720"/>
      </w:pPr>
      <w:r>
        <w:t>The literature on cultural heritage management has moved from a monument-centred approach toward a values-led and people-centred approach. Earlier conservation practice often privileged expert judgement, architectural fabric and national identity, whereas contemporary heritage theory recognises that significance is produced through relationships among material evidence, memory, use and social meaning (Harrison, 2013; Smith, 2006). Mason (2002) argues that conservation decisions require the assessment of multiple values because heritage places may carry historical, artistic, social, spiritual and economic importance. This perspective matters for sustainable management because a technical repair can protect fabric while damaging social meaning if local communities are excluded or if living practices are displaced. Heritage management therefore requires careful identification of values before decisions are made about conservation, interpretation, tourism, funding or development.</w:t>
      </w:r>
    </w:p>
    <w:p w14:paraId="16843FEF" w14:textId="77777777" w:rsidR="00D5591D" w:rsidRDefault="00000000">
      <w:pPr>
        <w:ind w:firstLine="720"/>
      </w:pPr>
      <w:r>
        <w:t xml:space="preserve">International conservation principles emphasise cultural significance, authenticity and minimum intervention. The Burra Charter defines conservation as all processes of looking after a </w:t>
      </w:r>
      <w:r>
        <w:lastRenderedPageBreak/>
        <w:t>place so as to retain its cultural significance, including maintenance, preservation, restoration, reconstruction and adaptation where appropriate (Australia ICOMOS, 2013). The Nara Document on Authenticity also expanded the idea of authenticity by recognising that different cultures express heritage value through materials, design, traditions, setting, function and spirit (ICOMOS, 1994). These principles challenge simplistic restoration that makes a place look attractive for tourists while erasing evidence of age, change or cultural diversity. Sustainable management should therefore begin with a conservation plan that explains why a place matters, which elements are vulnerable, which uses are compatible and what forms of change are unacceptable.</w:t>
      </w:r>
    </w:p>
    <w:p w14:paraId="6A957A1B" w14:textId="77777777" w:rsidR="00D5591D" w:rsidRDefault="00000000">
      <w:pPr>
        <w:ind w:firstLine="720"/>
      </w:pPr>
      <w:r>
        <w:t>A second body of literature links heritage to sustainable development. The World Heritage system does not treat conservation as isolation from society. The Operational Guidelines require adequate long-term legislative, regulatory, institutional and management measures for nominated properties, while also recognising that sustainable use can contribute to quality of life where it is ecologically and culturally sustainable (UNESCO World Heritage Centre, 2024). This creates an important policy bridge between protection and development. Heritage sites can support local jobs, education, cultural pride and place-based economic activity. However, the same development can become damaging when conservation is subordinated to commercial returns. Sustainable management therefore requires limits, not just promotional strategies.</w:t>
      </w:r>
    </w:p>
    <w:p w14:paraId="037A4630" w14:textId="77777777" w:rsidR="00D5591D" w:rsidRDefault="00000000">
      <w:pPr>
        <w:ind w:firstLine="720"/>
      </w:pPr>
      <w:r>
        <w:t xml:space="preserve">Tourism is one of the most visible pressures on cultural heritage sites. Pedersen’s UNESCO manual explains that tourism can bring revenue and political attention, but unmanaged visitation can damage fragile surfaces, overload infrastructure, disrupt local life and produce shallow interpretation (Pedersen, 2002). Later UNESCO guidance frames sustainable tourism as </w:t>
      </w:r>
      <w:r>
        <w:lastRenderedPageBreak/>
        <w:t>a destination-level responsibility because the condition of a heritage site is affected by transport, accommodation, marketing, local services and municipal planning beyond the site boundary (UNESCO World Heritage Centre, n.d.). Visitor management therefore includes carrying capacity assessment, timed ticketing, route design, zoning, interpretation, monitoring and demand dispersion. The point is not to prevent visitors, but to shape visitor behaviour and reduce cumulative pressure.</w:t>
      </w:r>
    </w:p>
    <w:p w14:paraId="04E353E4" w14:textId="77777777" w:rsidR="00D5591D" w:rsidRDefault="00000000">
      <w:pPr>
        <w:ind w:firstLine="720"/>
      </w:pPr>
      <w:r>
        <w:t>Community participation is another major theme in the literature. ICCROM’s people-centred approach argues that heritage conservation should contribute to the wellbeing of both heritage and society, and that communities should be involved in decision-making because they often carry knowledge, rights and responsibilities that formal institutions lack (ICCROM, 2015). This approach is especially relevant at living heritage sites where local residents continue to worship, trade, farm, perform rituals or maintain traditional skills. Participation is not simply public consultation after plans are already prepared. It involves shared diagnosis of problems, recognition of rights, capacity building, transparent benefit sharing and mechanisms for grievance. Without this, heritage management can become externally imposed and socially unsustainable.</w:t>
      </w:r>
    </w:p>
    <w:p w14:paraId="20160B00" w14:textId="77777777" w:rsidR="00D5591D" w:rsidRDefault="00000000">
      <w:pPr>
        <w:ind w:firstLine="720"/>
      </w:pPr>
      <w:r>
        <w:t xml:space="preserve">The literature also highlights the legal and institutional dimensions of sustainable site management. UNESCO’s 1972 Convention places responsibility on states to identify, protect and conserve heritage, but implementation often depends on national laws, local planning systems, site managers, advisory bodies and civil society organisations (UNESCO, 1972). Weak coordination creates gaps. For example, a heritage agency may control conservation permits while a tourism authority markets the destination and a municipality approves nearby development. Sustainable management requires vertical coordination between national and local </w:t>
      </w:r>
      <w:r>
        <w:lastRenderedPageBreak/>
        <w:t>government and horizontal coordination among conservation, tourism, environment, infrastructure and community agencies. Governance is therefore as important as conservation science.</w:t>
      </w:r>
    </w:p>
    <w:p w14:paraId="08B0C92F" w14:textId="77777777" w:rsidR="00D5591D" w:rsidRDefault="00000000">
      <w:pPr>
        <w:ind w:firstLine="720"/>
      </w:pPr>
      <w:r>
        <w:t>Climate change has widened the sustainability challenge. UNESCO, UNEP and the Union of Concerned Scientists (2016) warn that climate impacts can intensify the effects of poorly managed tourism and unplanned development at World Heritage sites. Cultural sites may be damaged by sea-level rise, flooding, heat, humidity changes, stronger storms, wildfire and biological growth. This literature expands heritage management beyond present-day visitor pressure and requires risk assessment, emergency planning, documentation, climate adaptation and long-term maintenance. A heritage site that is profitable today can still be unsustainable if its management plan ignores future climatic and environmental stress.</w:t>
      </w:r>
    </w:p>
    <w:p w14:paraId="0122BCD0" w14:textId="77777777" w:rsidR="00D5591D" w:rsidRDefault="00000000">
      <w:pPr>
        <w:ind w:firstLine="720"/>
      </w:pPr>
      <w:r>
        <w:t>Overall, the literature suggests that sustainable cultural heritage management is a multidimensional practice. It involves conserving material fabric, protecting authenticity, enabling public access, sustaining community relationships, managing tourism pressure, complying with law and preparing for environmental change. The strongest approaches are integrated and adaptive. They do not assume that tourism automatically funds conservation or that expert conservation automatically serves communities. Instead, they treat heritage places as complex cultural systems in which values, users, institutions and risks must be reviewed continuously.</w:t>
      </w:r>
    </w:p>
    <w:p w14:paraId="2CB21589" w14:textId="77777777" w:rsidR="00D5591D" w:rsidRDefault="00000000">
      <w:pPr>
        <w:ind w:firstLine="720"/>
      </w:pPr>
      <w:r>
        <w:t xml:space="preserve">Another important contribution in the literature is the idea of carrying capacity, although contemporary heritage management treats it more flexibly than a fixed number. Carrying capacity is not only the maximum number of visitors a site can physically hold. It includes physical capacity, ecological capacity, social capacity, management capacity and cultural </w:t>
      </w:r>
      <w:r>
        <w:lastRenderedPageBreak/>
        <w:t>capacity. A stone pathway may tolerate a certain amount of footfall, while a sacred space may become culturally overloaded at a much lower number if rituals, silence or local access are disrupted. This is why visitor limits should be linked to site-specific indicators rather than copied from another destination. A sustainable site may allow high numbers in robust zones and very low numbers in fragile or sacred zones.</w:t>
      </w:r>
    </w:p>
    <w:p w14:paraId="46F0F56C" w14:textId="77777777" w:rsidR="00D5591D" w:rsidRDefault="00000000">
      <w:pPr>
        <w:pStyle w:val="Heading1"/>
      </w:pPr>
      <w:r>
        <w:t>Methodology</w:t>
      </w:r>
    </w:p>
    <w:p w14:paraId="25040E9C" w14:textId="77777777" w:rsidR="00D5591D" w:rsidRDefault="00000000">
      <w:pPr>
        <w:ind w:firstLine="720"/>
      </w:pPr>
      <w:r>
        <w:t>This report uses a qualitative desk-based methodology appropriate for a topic-based cultural heritage management study. The method does not collect primary field data. Instead, it analyses secondary evidence from international heritage conventions, conservation charters, institutional guidance, academic literature and selected real-world examples. This approach is suitable because the research question concerns management principles and transferable practices rather than the measurement of one site-specific variable. It also allows comparison across different heritage contexts, including archaeological sites, historic cities, cultural landscapes and living heritage places.</w:t>
      </w:r>
    </w:p>
    <w:p w14:paraId="27B134B7" w14:textId="77777777" w:rsidR="00D5591D" w:rsidRDefault="00000000">
      <w:pPr>
        <w:ind w:firstLine="720"/>
      </w:pPr>
      <w:r>
        <w:t>The first stage was source selection. Priority was given to internationally recognised documents because cultural heritage management is strongly shaped by global norms. These included UNESCO’s World Heritage Convention, UNESCO World Heritage Centre guidance, the Burra Charter, the Nara Document, ICCROM’s people-centred conservation guidance and ICOMOS cultural tourism principles. Academic sources were selected to provide theoretical depth on values-led conservation, authorised heritage discourse, community participation and sustainable use. Sources were screened for relevance to tangible heritage sites, conservation challenges, tourism access, governance and community involvement.</w:t>
      </w:r>
    </w:p>
    <w:p w14:paraId="5440133E" w14:textId="77777777" w:rsidR="00D5591D" w:rsidRDefault="00000000">
      <w:pPr>
        <w:ind w:firstLine="720"/>
      </w:pPr>
      <w:r>
        <w:lastRenderedPageBreak/>
        <w:t>The second stage was thematic analysis. The sources were read and coded according to 6 themes: heritage meaning and value, conservation principles, tourism and public access, stakeholder roles, community participation and future risks. These themes were then used to organise the literature review and findings. A thematic method is appropriate because the assignment requires critical discussion rather than statistical testing. It also helps identify relationships among issues that are often treated separately, such as how visitor management affects conservation and how community participation affects legitimacy.</w:t>
      </w:r>
    </w:p>
    <w:p w14:paraId="392F054B" w14:textId="77777777" w:rsidR="00D5591D" w:rsidRDefault="00000000">
      <w:pPr>
        <w:ind w:firstLine="720"/>
      </w:pPr>
      <w:r>
        <w:t>The third stage involved illustrative case selection. Examples were chosen where published information shows recognisable sustainable management practices, such as visitor dispersal, management planning, community involvement, interpretation or climate-aware conservation. The report does not claim that any example is perfect. Instead, each example is used analytically to show a management principle in practice. The limitation of this method is that it relies on published evidence and cannot verify current conditions through site observation. To reduce this limitation, the report uses institutional and academic sources and avoids unsupported claims about exact present-day performance.</w:t>
      </w:r>
    </w:p>
    <w:p w14:paraId="5BEAEAEE" w14:textId="77777777" w:rsidR="00D5591D" w:rsidRDefault="00000000">
      <w:pPr>
        <w:ind w:firstLine="720"/>
      </w:pPr>
      <w:r>
        <w:t>A final methodological step was quality checking against the assignment structure. The analysis was organised to ensure that the report explains the meaning and importance of cultural heritage management, discusses the challenge of conservation alongside tourism and public access, analyses the roles of government agencies, local communities and heritage organisations, and uses examples to show sustainable practice. This structure makes the methodology practical rather than abstract because the evidence is directly aligned with the management questions raised by the brief.</w:t>
      </w:r>
    </w:p>
    <w:p w14:paraId="5E43A0C0" w14:textId="77777777" w:rsidR="00D5591D" w:rsidRDefault="00000000">
      <w:pPr>
        <w:pStyle w:val="Heading1"/>
      </w:pPr>
      <w:r>
        <w:lastRenderedPageBreak/>
        <w:t>Findings</w:t>
      </w:r>
    </w:p>
    <w:p w14:paraId="637ABBFE" w14:textId="77777777" w:rsidR="00D5591D" w:rsidRDefault="00000000">
      <w:pPr>
        <w:ind w:firstLine="720"/>
      </w:pPr>
      <w:r>
        <w:t>The first finding is that sustainable heritage management must begin with a clear statement of cultural significance. Conservation work becomes weak when managers treat a heritage site as a general tourist attraction rather than a place with specific values, attributes and vulnerabilities. Values-led management requires an inventory of significant fabric, setting, views, traditions, uses and associations. It also requires identification of what could be changed without reducing significance and what must be protected strictly. The Burra Charter’s emphasis on retaining cultural significance supports this approach because it prevents management from being reduced to appearance, visitor numbers or revenue (Australia ICOMOS, 2013). A sustainable site is therefore not simply well-maintained. It is a place where decisions are traceable to clearly articulated heritage values.</w:t>
      </w:r>
    </w:p>
    <w:p w14:paraId="768ADBBB" w14:textId="77777777" w:rsidR="00D5591D" w:rsidRDefault="00000000">
      <w:pPr>
        <w:ind w:firstLine="720"/>
      </w:pPr>
      <w:r>
        <w:t>The second finding is that tourism and public access are both opportunities and risks. Tourism can produce funds for conservation, create employment, justify infrastructure and increase public appreciation. However, it can also increase erosion, waste, vibration, noise, traffic, unauthorised touching, crowding and pressure for commercial facilities. At heavily visited sites, the main issue is cumulative impact. One visitor may cause little damage, but thousands of daily visitors can transform surfaces, routes, local prices and resident experience. Sustainable management therefore requires active visitor management. Measures may include timed entry, guided routes, protective barriers, interpretation before entry, restrictions on fragile areas, booking systems, off-season promotion and dispersal to lesser-known locations. Such measures are not anti-tourism. They make tourism compatible with conservation.</w:t>
      </w:r>
    </w:p>
    <w:p w14:paraId="481C9AAE" w14:textId="77777777" w:rsidR="00D5591D" w:rsidRDefault="00000000">
      <w:pPr>
        <w:ind w:firstLine="720"/>
      </w:pPr>
      <w:r>
        <w:t xml:space="preserve">The third finding is that government agencies remain essential because heritage protection needs legal authority. Governments can designate heritage sites, regulate </w:t>
      </w:r>
      <w:r>
        <w:lastRenderedPageBreak/>
        <w:t>development, fund conservation, enforce permits, protect buffer zones and coordinate disaster response. They also have responsibility under international conventions where World Heritage status is involved. However, government-led management can become too centralised if it ignores local knowledge and daily use. Sustainable management therefore requires governments to act not only as controllers, but also as facilitators. This includes supporting local stewardship, ensuring transparent planning, coordinating tourism and infrastructure agencies, and making sure that conservation budgets are not dependent only on ticket sales.</w:t>
      </w:r>
    </w:p>
    <w:p w14:paraId="0C66E7E5" w14:textId="77777777" w:rsidR="00D5591D" w:rsidRDefault="00000000">
      <w:pPr>
        <w:ind w:firstLine="720"/>
      </w:pPr>
      <w:r>
        <w:t>The fourth finding is that heritage organisations and professional bodies provide technical standards that help prevent short-term decisions. Organisations such as ICOMOS, ICCROM and national conservation agencies contribute principles on authenticity, minimum intervention, documentation, risk preparedness, training and monitoring. Their role is particularly important where tourism developers or political actors favour visible upgrades that may be incompatible with conservation. Technical standards can help distinguish conservation from beautification. They can also guide maintenance cycles, material testing, archaeological recording, interpretation and emergency planning. However, professional expertise must be translated into language that communities and visitors can understand. Otherwise, expert authority may appear distant and unaccountable.</w:t>
      </w:r>
    </w:p>
    <w:p w14:paraId="62DAF822" w14:textId="77777777" w:rsidR="00D5591D" w:rsidRDefault="00000000">
      <w:pPr>
        <w:ind w:firstLine="720"/>
      </w:pPr>
      <w:r>
        <w:t xml:space="preserve">The fifth finding is that local communities are central to sustainable management because they live with the consequences of conservation and tourism. Communities can provide traditional knowledge, volunteer care, interpretation, monitoring and cultural continuity. They can also be harmed by rising rents, restricted access, loss of sacred privacy or employment that is limited to low-paid service roles. A people-centred approach requires local communities to be recognised as rights-holders and partners, not just as stakeholders consulted after major decisions </w:t>
      </w:r>
      <w:r>
        <w:lastRenderedPageBreak/>
        <w:t>have been made (ICCROM, 2015). Practical mechanisms include community advisory boards, local employment pathways, benefit-sharing agreements, participatory interpretation, respect for customary access and grievance procedures.</w:t>
      </w:r>
    </w:p>
    <w:p w14:paraId="056E162F" w14:textId="77777777" w:rsidR="00D5591D" w:rsidRDefault="00000000">
      <w:pPr>
        <w:ind w:firstLine="720"/>
      </w:pPr>
      <w:r>
        <w:t>The sixth finding is that sustainable management depends on monitoring and adaptation. A management plan is ineffective if it is prepared for approval and then left unchanged. Heritage conditions, visitor behaviour, climate risks and community expectations change over time. Managers need indicators for physical condition, visitor density, resident satisfaction, revenue use, conservation backlog, interpretation quality and environmental stress. For example, if footfall increases but maintenance expenditure remains flat, risk is accumulating even if the site appears successful in tourism terms. Adaptive monitoring allows managers to introduce limits, repair routes, change interpretation or revise zoning before damage becomes irreversible.</w:t>
      </w:r>
    </w:p>
    <w:p w14:paraId="6B55B6C7" w14:textId="77777777" w:rsidR="00D5591D" w:rsidRDefault="00000000">
      <w:pPr>
        <w:ind w:firstLine="720"/>
      </w:pPr>
      <w:r>
        <w:t>Real-world examples show these principles in practice. In fragile archaeological sites, visitor caps and defined routes reduce direct physical pressure. In historic towns, destination-level management can connect conservation with housing, transport, waste and local business policy. In cultural landscapes, sustainable management often requires coordination between heritage agencies and land users because agriculture, ritual, ecology and scenic value are connected. These examples show that sustainability is not a single technique. It is a management culture that aligns conservation, access and local benefit through clear rules and ongoing learning.</w:t>
      </w:r>
    </w:p>
    <w:p w14:paraId="5251E8DA" w14:textId="77777777" w:rsidR="00D5591D" w:rsidRDefault="00000000">
      <w:pPr>
        <w:ind w:firstLine="720"/>
      </w:pPr>
      <w:r>
        <w:t xml:space="preserve">The findings also show that sustainable heritage management involves difficult trade-offs. Restricting access can protect fragile areas but may reduce income and disappoint visitors. Commercial events can fund conservation but may damage solemnity or authenticity. Infrastructure can improve accessibility but may disturb archaeological deposits or historic </w:t>
      </w:r>
      <w:r>
        <w:lastRenderedPageBreak/>
        <w:t>settings. There is no automatic solution to these dilemmas. The most defensible decisions are those that are transparent, evidence-based, reversible where possible and connected to the site’s cultural significance. This is why governance quality is as important as technical conservation skill.</w:t>
      </w:r>
    </w:p>
    <w:p w14:paraId="2B5ED714" w14:textId="77777777" w:rsidR="00D5591D" w:rsidRDefault="00000000">
      <w:pPr>
        <w:ind w:firstLine="720"/>
      </w:pPr>
      <w:r>
        <w:t>The eighth finding is that interpretation is a conservation tool, not only an educational service. Effective interpretation can explain why visitors must stay on marked routes, avoid touching surfaces, respect sacred areas and support local rules. It can also make conservation work visible so that visitors understand why some areas are closed or why restoration takes time. Interpretation is especially important where heritage values are not immediately obvious. A visitor may recognise an impressive monument, but may not understand an archaeological layer, historic view corridor, ritual route or traditional land-use pattern. Sustainable management therefore needs interpretation before, during and after the visit through signage, guides, digital tools and community narratives.</w:t>
      </w:r>
    </w:p>
    <w:p w14:paraId="706DD29C" w14:textId="77777777" w:rsidR="00D5591D" w:rsidRDefault="00000000">
      <w:pPr>
        <w:ind w:firstLine="720"/>
      </w:pPr>
      <w:r>
        <w:t>The ninth finding is that financing must be diversified. Ticket sales can support conservation, but dependence on visitor income can create pressure to increase numbers even when the site is already stressed. Public grants, conservation funds, philanthropic support, local taxes, research partnerships and responsible tourism contributions can reduce this pressure. Financial transparency is also important. When visitors and residents can see that income is reinvested in maintenance, interpretation and community benefit, tourism becomes easier to justify. Where revenue disappears into general budgets without visible conservation outcomes, trust declines and heritage management appears extractive.</w:t>
      </w:r>
    </w:p>
    <w:p w14:paraId="40359B4A" w14:textId="77777777" w:rsidR="00D5591D" w:rsidRDefault="00000000">
      <w:pPr>
        <w:pStyle w:val="Heading1"/>
      </w:pPr>
      <w:r>
        <w:lastRenderedPageBreak/>
        <w:t>Discussion</w:t>
      </w:r>
    </w:p>
    <w:p w14:paraId="63934005" w14:textId="77777777" w:rsidR="00D5591D" w:rsidRDefault="00000000">
      <w:pPr>
        <w:ind w:firstLine="720"/>
      </w:pPr>
      <w:r>
        <w:t>The analysis suggests that the main challenge in cultural heritage site management is not the absence of conservation principles, but the difficulty of applying them under economic and political pressure. Tourism authorities often measure success through visitor numbers, hotel occupancy and spending. Heritage managers, by contrast, must consider material vulnerability, authenticity, community meaning and intergenerational responsibility. When these objectives are not integrated, tourism growth can undermine the resource on which tourism depends. Sustainable management therefore requires a shift from volume-based success to value-based success. A heritage site should not be judged only by how many people it attracts, but by whether visitation improves understanding, supports local wellbeing and funds conservation without exceeding acceptable limits.</w:t>
      </w:r>
    </w:p>
    <w:p w14:paraId="230BED5D" w14:textId="77777777" w:rsidR="00D5591D" w:rsidRDefault="00000000">
      <w:pPr>
        <w:ind w:firstLine="720"/>
      </w:pPr>
      <w:r>
        <w:t>A second issue is the relationship between expertise and participation. Expert-led conservation is necessary because heritage sites can be technically complex and fragile. Yet expert authority becomes ethically weak when it treats local communities as obstacles to conservation or as performers for visitors. The literature on people-centred conservation challenges this by arguing that community wellbeing and heritage wellbeing are linked (ICCROM, 2015). In practice, this means that community participation should influence priorities, not just communication. For example, interpretation should include local voices and difficult histories rather than presenting a single official narrative. Benefit sharing should also be measurable, otherwise the claim that tourism helps communities can become symbolic.</w:t>
      </w:r>
    </w:p>
    <w:p w14:paraId="1B9DD1B1" w14:textId="77777777" w:rsidR="00D5591D" w:rsidRDefault="00000000">
      <w:pPr>
        <w:ind w:firstLine="720"/>
      </w:pPr>
      <w:r>
        <w:t xml:space="preserve">The role of government is also complex. Strong legal protection is essential, but legislation alone cannot make a site sustainable. Many sites have formal protection while still facing illegal building, weak maintenance, poor enforcement or uncontrolled tourism. </w:t>
      </w:r>
      <w:r>
        <w:lastRenderedPageBreak/>
        <w:t>Governments need to align heritage law with planning, transport, housing, climate adaptation and tourism policy. This is particularly important for historic urban areas where the heritage site is not a fenced monument but a living city. If local residents are forced out by tourism economies, the site may retain its architecture but lose social continuity. Sustainable management must therefore protect both fabric and living context.</w:t>
      </w:r>
    </w:p>
    <w:p w14:paraId="10824307" w14:textId="77777777" w:rsidR="00D5591D" w:rsidRDefault="00000000">
      <w:pPr>
        <w:ind w:firstLine="720"/>
      </w:pPr>
      <w:r>
        <w:t>The discussion also shows that climate risk should be treated as a core heritage management issue. Climate change can make existing tourism and development pressures more damaging, especially in coastal cities, archaeological sites and fragile landscapes (UNESCO et al., 2016). Sustainable management must include documentation, risk mapping, drainage, emergency response, material research and decisions about what can realistically be protected. This does not weaken the cultural purpose of heritage management. It strengthens it by recognising that future generations inherit both heritage values and the consequences of present management decisions.</w:t>
      </w:r>
    </w:p>
    <w:p w14:paraId="70522135" w14:textId="77777777" w:rsidR="00D5591D" w:rsidRDefault="00000000">
      <w:pPr>
        <w:ind w:firstLine="720"/>
      </w:pPr>
      <w:r>
        <w:t>Overall, sustainable management works best when it is values-led, participatory and adaptive. It is not enough to preserve a site physically while allowing tourism to damage local life. It is also not enough to promote community benefit while neglecting conservation standards. The strongest model is a partnership in which government provides legal structure, heritage professionals provide technical discipline, local communities provide knowledge and legitimacy, and tourism actors operate within clear conservation limits. This model is demanding, but it is more realistic than treating conservation and development as separate agendas.</w:t>
      </w:r>
    </w:p>
    <w:p w14:paraId="19D0DAE7" w14:textId="77777777" w:rsidR="00D5591D" w:rsidRDefault="00000000">
      <w:pPr>
        <w:ind w:firstLine="720"/>
      </w:pPr>
      <w:r>
        <w:t xml:space="preserve">A further implication is that sustainable management should treat maintenance as a strategic activity. Heritage debates often focus on major restoration projects, but the long-term survival of sites usually depends on ordinary maintenance such as drainage cleaning, vegetation </w:t>
      </w:r>
      <w:r>
        <w:lastRenderedPageBreak/>
        <w:t>control, roof repair, path repair, monitoring of cracks and control of visitor wear. Maintenance is less visible than restoration, so it is often underfunded. Yet neglecting maintenance creates larger future costs and may lead to irreversible loss. Sustainable management should therefore allocate predictable budgets for preventive care rather than waiting for emergency repair. This principle is consistent with conservation ethics because minimum intervention is easier when problems are detected early.</w:t>
      </w:r>
    </w:p>
    <w:p w14:paraId="7C6A9214" w14:textId="77777777" w:rsidR="00D5591D" w:rsidRDefault="00000000">
      <w:pPr>
        <w:ind w:firstLine="720"/>
      </w:pPr>
      <w:r>
        <w:t>The ethical dimension of sustainability should also be emphasised. Heritage managers make decisions on behalf of people who are not present, including future generations and communities whose histories may have been marginalised. This creates a duty to avoid short-term exploitation. A site that is overused today may lose the very qualities that future communities have a right to inherit. Sustainable management is therefore not only efficient management. It is a form of cultural responsibility.</w:t>
      </w:r>
    </w:p>
    <w:p w14:paraId="1F72F205" w14:textId="77777777" w:rsidR="00D5591D" w:rsidRDefault="00000000">
      <w:pPr>
        <w:pStyle w:val="Heading1"/>
      </w:pPr>
      <w:r>
        <w:t>Conclusion</w:t>
      </w:r>
    </w:p>
    <w:p w14:paraId="17BB5AE6" w14:textId="77777777" w:rsidR="00D5591D" w:rsidRDefault="00000000">
      <w:pPr>
        <w:ind w:firstLine="720"/>
      </w:pPr>
      <w:r>
        <w:t>Sustainable management is essential for cultural heritage sites because heritage is finite, vulnerable and socially meaningful. The report has shown that cultural heritage management involves more than repair or promotion. It is the coordinated protection, interpretation and use of heritage values through legal, technical, social and economic mechanisms. Sustainable management becomes necessary where tourism, development, climate change and community needs intersect. Without it, heritage sites may remain popular in the short term while losing authenticity, physical integrity and local legitimacy.</w:t>
      </w:r>
    </w:p>
    <w:p w14:paraId="099ADC0F" w14:textId="77777777" w:rsidR="00D5591D" w:rsidRDefault="00000000">
      <w:pPr>
        <w:ind w:firstLine="720"/>
      </w:pPr>
      <w:r>
        <w:t xml:space="preserve">The report concludes that sustainable heritage site management requires 5 practical commitments. First, decisions must be based on clearly identified cultural significance. Second, </w:t>
      </w:r>
      <w:r>
        <w:lastRenderedPageBreak/>
        <w:t>visitor access must be actively planned rather than assumed to be harmless. Third, government agencies, heritage organisations and tourism bodies must coordinate their roles. Fourth, local communities must participate as rights-holders and co-managers. Fifth, management plans must be monitored and revised as conditions change. These commitments help balance conservation with public access and economic use. The central message is that heritage sustainability is not achieved by choosing between preservation and tourism. It is achieved by managing tourism, development and community benefit within the limits set by cultural significance and intergenerational responsibility.</w:t>
      </w:r>
    </w:p>
    <w:p w14:paraId="14F8EF43" w14:textId="77777777" w:rsidR="00D5591D" w:rsidRDefault="00000000">
      <w:pPr>
        <w:ind w:firstLine="720"/>
      </w:pPr>
      <w:r>
        <w:t>For practical implementation, the most useful approach is to prepare a living management plan. This plan should identify values, risks, actors, visitor rules, conservation priorities, funding responsibilities and monitoring indicators. It should also be reviewed regularly with community and professional input. In this way, sustainability becomes a daily management discipline rather than a broad statement of intention.</w:t>
      </w:r>
    </w:p>
    <w:p w14:paraId="6599BA1E" w14:textId="77777777" w:rsidR="00D5591D" w:rsidRDefault="00000000">
      <w:r>
        <w:br w:type="page"/>
      </w:r>
    </w:p>
    <w:p w14:paraId="55860A6E" w14:textId="77777777" w:rsidR="00D5591D" w:rsidRDefault="00000000">
      <w:pPr>
        <w:pStyle w:val="Heading1"/>
      </w:pPr>
      <w:r>
        <w:lastRenderedPageBreak/>
        <w:t>References</w:t>
      </w:r>
    </w:p>
    <w:p w14:paraId="124B0FA1" w14:textId="77777777" w:rsidR="00D5591D" w:rsidRDefault="00000000">
      <w:pPr>
        <w:ind w:left="720" w:hanging="720"/>
      </w:pPr>
      <w:r>
        <w:t>Australia ICOMOS. (2013). The Burra Charter: The Australia ICOMOS charter for places of cultural significance. https://australia.icomos.org/publications/burra-charter-practice-notes/</w:t>
      </w:r>
    </w:p>
    <w:p w14:paraId="64A35C04" w14:textId="77777777" w:rsidR="00D5591D" w:rsidRDefault="00000000">
      <w:pPr>
        <w:ind w:left="720" w:hanging="720"/>
      </w:pPr>
      <w:r>
        <w:t>Araoz, G. F. (2011). Preserving heritage places under a new paradigm. Journal of Cultural Heritage Management and Sustainable Development, 1(1), 55-60. https://doi.org/10.1108/20441261111129933</w:t>
      </w:r>
    </w:p>
    <w:p w14:paraId="6A0DFF0F" w14:textId="77777777" w:rsidR="00D5591D" w:rsidRDefault="00000000">
      <w:pPr>
        <w:ind w:left="720" w:hanging="720"/>
      </w:pPr>
      <w:r>
        <w:t>Harrison, R. (2013). Heritage: Critical approaches. Routledge.</w:t>
      </w:r>
    </w:p>
    <w:p w14:paraId="35FEDB16" w14:textId="77777777" w:rsidR="00D5591D" w:rsidRDefault="00000000">
      <w:pPr>
        <w:ind w:left="720" w:hanging="720"/>
      </w:pPr>
      <w:r>
        <w:t>ICCROM. (2015). People-centred approaches to the conservation of cultural heritage: Living heritage. https://www.iccrom.org/publication/people-centred-approaches-conservation-cultural-heritage-living-heritage</w:t>
      </w:r>
    </w:p>
    <w:p w14:paraId="0D279F68" w14:textId="77777777" w:rsidR="00D5591D" w:rsidRDefault="00000000">
      <w:pPr>
        <w:ind w:left="720" w:hanging="720"/>
      </w:pPr>
      <w:r>
        <w:t>ICOMOS. (1994). The Nara Document on Authenticity. https://www.icomos.org/charters/nara-e.pdf</w:t>
      </w:r>
    </w:p>
    <w:p w14:paraId="441B060A" w14:textId="77777777" w:rsidR="00D5591D" w:rsidRDefault="00000000">
      <w:pPr>
        <w:ind w:left="720" w:hanging="720"/>
      </w:pPr>
      <w:r>
        <w:t>ICOMOS. (2022). International Charter for Cultural Heritage Tourism: Reinforcing cultural heritage protection and community resilience through responsible and sustainable tourism management. https://www.icomos.org/images/DOCUMENTS/Secretariat/2023/CSI/eng-franc_ICHTCharter.pdf</w:t>
      </w:r>
    </w:p>
    <w:p w14:paraId="5BC37C62" w14:textId="77777777" w:rsidR="00D5591D" w:rsidRDefault="00000000">
      <w:pPr>
        <w:ind w:left="720" w:hanging="720"/>
      </w:pPr>
      <w:r>
        <w:t>Jokilehto, J. (1999). A history of architectural conservation. Butterworth-Heinemann.</w:t>
      </w:r>
    </w:p>
    <w:p w14:paraId="758791C4" w14:textId="77777777" w:rsidR="00D5591D" w:rsidRDefault="00000000">
      <w:pPr>
        <w:ind w:left="720" w:hanging="720"/>
      </w:pPr>
      <w:r>
        <w:t>Labadi, S. (2013). UNESCO, cultural heritage, and outstanding universal value. AltaMira Press.</w:t>
      </w:r>
    </w:p>
    <w:p w14:paraId="6CF0080F" w14:textId="77777777" w:rsidR="00D5591D" w:rsidRDefault="00000000">
      <w:pPr>
        <w:ind w:left="720" w:hanging="720"/>
      </w:pPr>
      <w:r>
        <w:t xml:space="preserve">Mason, R. (2002). Assessing values in conservation planning: Methodological issues and choices. In M. de la Torre (Ed.), Assessing the values of cultural heritage (pp. 5-30). Getty Conservation Institute. </w:t>
      </w:r>
      <w:r>
        <w:lastRenderedPageBreak/>
        <w:t>https://www.getty.edu/conservation/publications_resources/pdf_publications/values_cultural_heritage.html</w:t>
      </w:r>
    </w:p>
    <w:p w14:paraId="4F720B07" w14:textId="77777777" w:rsidR="00D5591D" w:rsidRDefault="00000000">
      <w:pPr>
        <w:ind w:left="720" w:hanging="720"/>
      </w:pPr>
      <w:r>
        <w:t>Pedersen, A. (2002). Managing tourism at World Heritage sites: A practical manual for World Heritage site managers. UNESCO World Heritage Centre. https://whc.unesco.org/uploads/activities/documents/activity-113-2.pdf</w:t>
      </w:r>
    </w:p>
    <w:p w14:paraId="651DF4D1" w14:textId="77777777" w:rsidR="00D5591D" w:rsidRDefault="00000000">
      <w:pPr>
        <w:ind w:left="720" w:hanging="720"/>
      </w:pPr>
      <w:r>
        <w:t>Poulios, I. (2014). The past in the present: A living heritage approach. Ubiquity Press. https://doi.org/10.5334/bak</w:t>
      </w:r>
    </w:p>
    <w:p w14:paraId="4945D7A2" w14:textId="77777777" w:rsidR="00D5591D" w:rsidRDefault="00000000">
      <w:pPr>
        <w:ind w:left="720" w:hanging="720"/>
      </w:pPr>
      <w:r>
        <w:t>Smith, L. (2006). Uses of heritage. Routledge.</w:t>
      </w:r>
    </w:p>
    <w:p w14:paraId="176E364C" w14:textId="77777777" w:rsidR="00D5591D" w:rsidRDefault="00000000">
      <w:pPr>
        <w:ind w:left="720" w:hanging="720"/>
      </w:pPr>
      <w:r>
        <w:t>UNESCO. (1972). Convention concerning the protection of the world cultural and natural heritage. https://whc.unesco.org/archive/convention-en.pdf</w:t>
      </w:r>
    </w:p>
    <w:p w14:paraId="7A25D048" w14:textId="77777777" w:rsidR="00D5591D" w:rsidRDefault="00000000">
      <w:pPr>
        <w:ind w:left="720" w:hanging="720"/>
      </w:pPr>
      <w:r>
        <w:t>UNESCO World Heritage Centre. (2024). Operational guidelines for the implementation of the World Heritage Convention. https://whc.unesco.org/en/guidelines/</w:t>
      </w:r>
    </w:p>
    <w:p w14:paraId="17B44FB9" w14:textId="77777777" w:rsidR="00D5591D" w:rsidRDefault="00000000">
      <w:pPr>
        <w:ind w:left="720" w:hanging="720"/>
      </w:pPr>
      <w:r>
        <w:t>UNESCO World Heritage Centre. (n.d.). World Heritage and Sustainable Tourism Programme. https://whc.unesco.org/en/tourism/</w:t>
      </w:r>
    </w:p>
    <w:p w14:paraId="7B631F88" w14:textId="77777777" w:rsidR="00D5591D" w:rsidRDefault="00000000">
      <w:pPr>
        <w:ind w:left="720" w:hanging="720"/>
      </w:pPr>
      <w:r>
        <w:t>UNESCO, United Nations Environment Programme, &amp; Union of Concerned Scientists. (2016). World heritage and tourism in a changing climate. https://whc.unesco.org/en/tourism-climate-change/</w:t>
      </w:r>
    </w:p>
    <w:p w14:paraId="24BD8E82" w14:textId="77777777" w:rsidR="00D5591D" w:rsidRDefault="00000000">
      <w:r>
        <w:br w:type="page"/>
      </w:r>
    </w:p>
    <w:p w14:paraId="1710CC7F" w14:textId="77777777" w:rsidR="00D5591D" w:rsidRDefault="00000000">
      <w:pPr>
        <w:pStyle w:val="Heading1"/>
      </w:pPr>
      <w:r>
        <w:lastRenderedPageBreak/>
        <w:t>Appendices</w:t>
      </w:r>
    </w:p>
    <w:p w14:paraId="7A81F19C" w14:textId="77777777" w:rsidR="00D5591D" w:rsidRDefault="00000000">
      <w:pPr>
        <w:pStyle w:val="Heading2"/>
      </w:pPr>
      <w:r>
        <w:t>Appendix A. Sustainable Site Management Checklist</w:t>
      </w:r>
    </w:p>
    <w:tbl>
      <w:tblPr>
        <w:tblStyle w:val="TableGrid"/>
        <w:tblW w:w="0" w:type="auto"/>
        <w:jc w:val="center"/>
        <w:tblLook w:val="04A0" w:firstRow="1" w:lastRow="0" w:firstColumn="1" w:lastColumn="0" w:noHBand="0" w:noVBand="1"/>
      </w:tblPr>
      <w:tblGrid>
        <w:gridCol w:w="3120"/>
        <w:gridCol w:w="3120"/>
        <w:gridCol w:w="3120"/>
      </w:tblGrid>
      <w:tr w:rsidR="00D5591D" w14:paraId="467FD7CE" w14:textId="77777777">
        <w:trPr>
          <w:jc w:val="center"/>
        </w:trPr>
        <w:tc>
          <w:tcPr>
            <w:tcW w:w="3120" w:type="dxa"/>
            <w:vAlign w:val="center"/>
          </w:tcPr>
          <w:p w14:paraId="661EE6D4" w14:textId="77777777" w:rsidR="00D5591D" w:rsidRDefault="00000000">
            <w:pPr>
              <w:spacing w:after="0"/>
            </w:pPr>
            <w:r>
              <w:rPr>
                <w:b/>
                <w:sz w:val="22"/>
              </w:rPr>
              <w:t>Management area</w:t>
            </w:r>
          </w:p>
        </w:tc>
        <w:tc>
          <w:tcPr>
            <w:tcW w:w="3120" w:type="dxa"/>
            <w:vAlign w:val="center"/>
          </w:tcPr>
          <w:p w14:paraId="4A8A4847" w14:textId="77777777" w:rsidR="00D5591D" w:rsidRDefault="00000000">
            <w:pPr>
              <w:spacing w:after="0"/>
            </w:pPr>
            <w:r>
              <w:rPr>
                <w:b/>
                <w:sz w:val="22"/>
              </w:rPr>
              <w:t>Questions for site managers</w:t>
            </w:r>
          </w:p>
        </w:tc>
        <w:tc>
          <w:tcPr>
            <w:tcW w:w="3120" w:type="dxa"/>
            <w:vAlign w:val="center"/>
          </w:tcPr>
          <w:p w14:paraId="3603AFE6" w14:textId="77777777" w:rsidR="00D5591D" w:rsidRDefault="00000000">
            <w:pPr>
              <w:spacing w:after="0"/>
            </w:pPr>
            <w:r>
              <w:rPr>
                <w:b/>
                <w:sz w:val="22"/>
              </w:rPr>
              <w:t>Suggested evidence</w:t>
            </w:r>
          </w:p>
        </w:tc>
      </w:tr>
      <w:tr w:rsidR="00D5591D" w14:paraId="0135122B" w14:textId="77777777">
        <w:trPr>
          <w:jc w:val="center"/>
        </w:trPr>
        <w:tc>
          <w:tcPr>
            <w:tcW w:w="3120" w:type="dxa"/>
          </w:tcPr>
          <w:p w14:paraId="3186DE17" w14:textId="77777777" w:rsidR="00D5591D" w:rsidRDefault="00000000">
            <w:pPr>
              <w:spacing w:after="0"/>
            </w:pPr>
            <w:r>
              <w:rPr>
                <w:sz w:val="22"/>
              </w:rPr>
              <w:t>Cultural significance</w:t>
            </w:r>
          </w:p>
        </w:tc>
        <w:tc>
          <w:tcPr>
            <w:tcW w:w="3120" w:type="dxa"/>
          </w:tcPr>
          <w:p w14:paraId="1E02F38C" w14:textId="77777777" w:rsidR="00D5591D" w:rsidRDefault="00000000">
            <w:pPr>
              <w:spacing w:after="0"/>
            </w:pPr>
            <w:r>
              <w:rPr>
                <w:sz w:val="22"/>
              </w:rPr>
              <w:t>Which tangible and intangible values must be retained?</w:t>
            </w:r>
          </w:p>
        </w:tc>
        <w:tc>
          <w:tcPr>
            <w:tcW w:w="3120" w:type="dxa"/>
          </w:tcPr>
          <w:p w14:paraId="7245F781" w14:textId="77777777" w:rsidR="00D5591D" w:rsidRDefault="00000000">
            <w:pPr>
              <w:spacing w:after="0"/>
            </w:pPr>
            <w:r>
              <w:rPr>
                <w:sz w:val="22"/>
              </w:rPr>
              <w:t>Statement of significance, inventories, maps and conservation plan</w:t>
            </w:r>
          </w:p>
        </w:tc>
      </w:tr>
      <w:tr w:rsidR="00D5591D" w14:paraId="575BCE32" w14:textId="77777777">
        <w:trPr>
          <w:jc w:val="center"/>
        </w:trPr>
        <w:tc>
          <w:tcPr>
            <w:tcW w:w="3120" w:type="dxa"/>
          </w:tcPr>
          <w:p w14:paraId="6C06AA4D" w14:textId="77777777" w:rsidR="00D5591D" w:rsidRDefault="00000000">
            <w:pPr>
              <w:spacing w:after="0"/>
            </w:pPr>
            <w:r>
              <w:rPr>
                <w:sz w:val="22"/>
              </w:rPr>
              <w:t>Visitor access</w:t>
            </w:r>
          </w:p>
        </w:tc>
        <w:tc>
          <w:tcPr>
            <w:tcW w:w="3120" w:type="dxa"/>
          </w:tcPr>
          <w:p w14:paraId="56C02C08" w14:textId="77777777" w:rsidR="00D5591D" w:rsidRDefault="00000000">
            <w:pPr>
              <w:spacing w:after="0"/>
            </w:pPr>
            <w:r>
              <w:rPr>
                <w:sz w:val="22"/>
              </w:rPr>
              <w:t>Where does visitor pressure exceed acceptable limits?</w:t>
            </w:r>
          </w:p>
        </w:tc>
        <w:tc>
          <w:tcPr>
            <w:tcW w:w="3120" w:type="dxa"/>
          </w:tcPr>
          <w:p w14:paraId="25660F0B" w14:textId="77777777" w:rsidR="00D5591D" w:rsidRDefault="00000000">
            <w:pPr>
              <w:spacing w:after="0"/>
            </w:pPr>
            <w:r>
              <w:rPr>
                <w:sz w:val="22"/>
              </w:rPr>
              <w:t>Footfall data, route condition surveys, crowding observations and visitor feedback</w:t>
            </w:r>
          </w:p>
        </w:tc>
      </w:tr>
      <w:tr w:rsidR="00D5591D" w14:paraId="1D9E45F9" w14:textId="77777777">
        <w:trPr>
          <w:jc w:val="center"/>
        </w:trPr>
        <w:tc>
          <w:tcPr>
            <w:tcW w:w="3120" w:type="dxa"/>
          </w:tcPr>
          <w:p w14:paraId="78022CA7" w14:textId="77777777" w:rsidR="00D5591D" w:rsidRDefault="00000000">
            <w:pPr>
              <w:spacing w:after="0"/>
            </w:pPr>
            <w:r>
              <w:rPr>
                <w:sz w:val="22"/>
              </w:rPr>
              <w:t>Community participation</w:t>
            </w:r>
          </w:p>
        </w:tc>
        <w:tc>
          <w:tcPr>
            <w:tcW w:w="3120" w:type="dxa"/>
          </w:tcPr>
          <w:p w14:paraId="0677F05E" w14:textId="77777777" w:rsidR="00D5591D" w:rsidRDefault="00000000">
            <w:pPr>
              <w:spacing w:after="0"/>
            </w:pPr>
            <w:r>
              <w:rPr>
                <w:sz w:val="22"/>
              </w:rPr>
              <w:t>Who uses, values or depends on the site?</w:t>
            </w:r>
          </w:p>
        </w:tc>
        <w:tc>
          <w:tcPr>
            <w:tcW w:w="3120" w:type="dxa"/>
          </w:tcPr>
          <w:p w14:paraId="424CF6A1" w14:textId="77777777" w:rsidR="00D5591D" w:rsidRDefault="00000000">
            <w:pPr>
              <w:spacing w:after="0"/>
            </w:pPr>
            <w:r>
              <w:rPr>
                <w:sz w:val="22"/>
              </w:rPr>
              <w:t>Community meetings, advisory board minutes and benefit-sharing records</w:t>
            </w:r>
          </w:p>
        </w:tc>
      </w:tr>
      <w:tr w:rsidR="00D5591D" w14:paraId="40B619F2" w14:textId="77777777">
        <w:trPr>
          <w:jc w:val="center"/>
        </w:trPr>
        <w:tc>
          <w:tcPr>
            <w:tcW w:w="3120" w:type="dxa"/>
          </w:tcPr>
          <w:p w14:paraId="5BEF1FDF" w14:textId="77777777" w:rsidR="00D5591D" w:rsidRDefault="00000000">
            <w:pPr>
              <w:spacing w:after="0"/>
            </w:pPr>
            <w:r>
              <w:rPr>
                <w:sz w:val="22"/>
              </w:rPr>
              <w:t>Legal protection</w:t>
            </w:r>
          </w:p>
        </w:tc>
        <w:tc>
          <w:tcPr>
            <w:tcW w:w="3120" w:type="dxa"/>
          </w:tcPr>
          <w:p w14:paraId="7FA6939C" w14:textId="77777777" w:rsidR="00D5591D" w:rsidRDefault="00000000">
            <w:pPr>
              <w:spacing w:after="0"/>
            </w:pPr>
            <w:r>
              <w:rPr>
                <w:sz w:val="22"/>
              </w:rPr>
              <w:t>Are site boundaries, buffer zones and permits enforceable?</w:t>
            </w:r>
          </w:p>
        </w:tc>
        <w:tc>
          <w:tcPr>
            <w:tcW w:w="3120" w:type="dxa"/>
          </w:tcPr>
          <w:p w14:paraId="3479D390" w14:textId="77777777" w:rsidR="00D5591D" w:rsidRDefault="00000000">
            <w:pPr>
              <w:spacing w:after="0"/>
            </w:pPr>
            <w:r>
              <w:rPr>
                <w:sz w:val="22"/>
              </w:rPr>
              <w:t>Heritage designations, planning controls and enforcement records</w:t>
            </w:r>
          </w:p>
        </w:tc>
      </w:tr>
      <w:tr w:rsidR="00D5591D" w14:paraId="40141C27" w14:textId="77777777">
        <w:trPr>
          <w:jc w:val="center"/>
        </w:trPr>
        <w:tc>
          <w:tcPr>
            <w:tcW w:w="3120" w:type="dxa"/>
          </w:tcPr>
          <w:p w14:paraId="250E4291" w14:textId="77777777" w:rsidR="00D5591D" w:rsidRDefault="00000000">
            <w:pPr>
              <w:spacing w:after="0"/>
            </w:pPr>
            <w:r>
              <w:rPr>
                <w:sz w:val="22"/>
              </w:rPr>
              <w:t>Monitoring</w:t>
            </w:r>
          </w:p>
        </w:tc>
        <w:tc>
          <w:tcPr>
            <w:tcW w:w="3120" w:type="dxa"/>
          </w:tcPr>
          <w:p w14:paraId="2F1C6C80" w14:textId="77777777" w:rsidR="00D5591D" w:rsidRDefault="00000000">
            <w:pPr>
              <w:spacing w:after="0"/>
            </w:pPr>
            <w:r>
              <w:rPr>
                <w:sz w:val="22"/>
              </w:rPr>
              <w:t>How will management decisions be reviewed?</w:t>
            </w:r>
          </w:p>
        </w:tc>
        <w:tc>
          <w:tcPr>
            <w:tcW w:w="3120" w:type="dxa"/>
          </w:tcPr>
          <w:p w14:paraId="707B2A56" w14:textId="77777777" w:rsidR="00D5591D" w:rsidRDefault="00000000">
            <w:pPr>
              <w:spacing w:after="0"/>
            </w:pPr>
            <w:r>
              <w:rPr>
                <w:sz w:val="22"/>
              </w:rPr>
              <w:t>Condition indicators, annual review and adaptive management actions</w:t>
            </w:r>
          </w:p>
        </w:tc>
      </w:tr>
    </w:tbl>
    <w:p w14:paraId="5E88E832" w14:textId="77777777" w:rsidR="00D5591D" w:rsidRDefault="00D5591D"/>
    <w:p w14:paraId="4540B2CF" w14:textId="77777777" w:rsidR="00D5591D" w:rsidRDefault="00000000">
      <w:pPr>
        <w:pStyle w:val="Heading2"/>
      </w:pPr>
      <w:r>
        <w:t>Appendix B. Example Management Roles</w:t>
      </w:r>
    </w:p>
    <w:tbl>
      <w:tblPr>
        <w:tblStyle w:val="TableGrid"/>
        <w:tblW w:w="0" w:type="auto"/>
        <w:jc w:val="center"/>
        <w:tblLook w:val="04A0" w:firstRow="1" w:lastRow="0" w:firstColumn="1" w:lastColumn="0" w:noHBand="0" w:noVBand="1"/>
      </w:tblPr>
      <w:tblGrid>
        <w:gridCol w:w="3120"/>
        <w:gridCol w:w="3120"/>
        <w:gridCol w:w="3120"/>
      </w:tblGrid>
      <w:tr w:rsidR="00D5591D" w14:paraId="42CA8035" w14:textId="77777777">
        <w:trPr>
          <w:jc w:val="center"/>
        </w:trPr>
        <w:tc>
          <w:tcPr>
            <w:tcW w:w="3120" w:type="dxa"/>
            <w:vAlign w:val="center"/>
          </w:tcPr>
          <w:p w14:paraId="5E189793" w14:textId="77777777" w:rsidR="00D5591D" w:rsidRDefault="00000000">
            <w:pPr>
              <w:spacing w:after="0"/>
            </w:pPr>
            <w:r>
              <w:rPr>
                <w:b/>
                <w:sz w:val="22"/>
              </w:rPr>
              <w:t>Actor</w:t>
            </w:r>
          </w:p>
        </w:tc>
        <w:tc>
          <w:tcPr>
            <w:tcW w:w="3120" w:type="dxa"/>
            <w:vAlign w:val="center"/>
          </w:tcPr>
          <w:p w14:paraId="707BBD36" w14:textId="77777777" w:rsidR="00D5591D" w:rsidRDefault="00000000">
            <w:pPr>
              <w:spacing w:after="0"/>
            </w:pPr>
            <w:r>
              <w:rPr>
                <w:b/>
                <w:sz w:val="22"/>
              </w:rPr>
              <w:t>Main role</w:t>
            </w:r>
          </w:p>
        </w:tc>
        <w:tc>
          <w:tcPr>
            <w:tcW w:w="3120" w:type="dxa"/>
            <w:vAlign w:val="center"/>
          </w:tcPr>
          <w:p w14:paraId="5616C683" w14:textId="77777777" w:rsidR="00D5591D" w:rsidRDefault="00000000">
            <w:pPr>
              <w:spacing w:after="0"/>
            </w:pPr>
            <w:r>
              <w:rPr>
                <w:b/>
                <w:sz w:val="22"/>
              </w:rPr>
              <w:t>Sustainability contribution</w:t>
            </w:r>
          </w:p>
        </w:tc>
      </w:tr>
      <w:tr w:rsidR="00D5591D" w14:paraId="2BC243A0" w14:textId="77777777">
        <w:trPr>
          <w:jc w:val="center"/>
        </w:trPr>
        <w:tc>
          <w:tcPr>
            <w:tcW w:w="3120" w:type="dxa"/>
          </w:tcPr>
          <w:p w14:paraId="6DA54B51" w14:textId="77777777" w:rsidR="00D5591D" w:rsidRDefault="00000000">
            <w:pPr>
              <w:spacing w:after="0"/>
            </w:pPr>
            <w:r>
              <w:rPr>
                <w:sz w:val="22"/>
              </w:rPr>
              <w:t>Government agencies</w:t>
            </w:r>
          </w:p>
        </w:tc>
        <w:tc>
          <w:tcPr>
            <w:tcW w:w="3120" w:type="dxa"/>
          </w:tcPr>
          <w:p w14:paraId="79474900" w14:textId="77777777" w:rsidR="00D5591D" w:rsidRDefault="00000000">
            <w:pPr>
              <w:spacing w:after="0"/>
            </w:pPr>
            <w:r>
              <w:rPr>
                <w:sz w:val="22"/>
              </w:rPr>
              <w:t xml:space="preserve">Legal designation, funding, enforcement and policy </w:t>
            </w:r>
            <w:r>
              <w:rPr>
                <w:sz w:val="22"/>
              </w:rPr>
              <w:lastRenderedPageBreak/>
              <w:t>coordination</w:t>
            </w:r>
          </w:p>
        </w:tc>
        <w:tc>
          <w:tcPr>
            <w:tcW w:w="3120" w:type="dxa"/>
          </w:tcPr>
          <w:p w14:paraId="3EC87877" w14:textId="77777777" w:rsidR="00D5591D" w:rsidRDefault="00000000">
            <w:pPr>
              <w:spacing w:after="0"/>
            </w:pPr>
            <w:r>
              <w:rPr>
                <w:sz w:val="22"/>
              </w:rPr>
              <w:lastRenderedPageBreak/>
              <w:t>Creates authority and continuity beyond short project cycles</w:t>
            </w:r>
          </w:p>
        </w:tc>
      </w:tr>
      <w:tr w:rsidR="00D5591D" w14:paraId="6EE1DF6B" w14:textId="77777777">
        <w:trPr>
          <w:jc w:val="center"/>
        </w:trPr>
        <w:tc>
          <w:tcPr>
            <w:tcW w:w="3120" w:type="dxa"/>
          </w:tcPr>
          <w:p w14:paraId="56A91529" w14:textId="77777777" w:rsidR="00D5591D" w:rsidRDefault="00000000">
            <w:pPr>
              <w:spacing w:after="0"/>
            </w:pPr>
            <w:r>
              <w:rPr>
                <w:sz w:val="22"/>
              </w:rPr>
              <w:t>Heritage organisations</w:t>
            </w:r>
          </w:p>
        </w:tc>
        <w:tc>
          <w:tcPr>
            <w:tcW w:w="3120" w:type="dxa"/>
          </w:tcPr>
          <w:p w14:paraId="2F9D9D0A" w14:textId="77777777" w:rsidR="00D5591D" w:rsidRDefault="00000000">
            <w:pPr>
              <w:spacing w:after="0"/>
            </w:pPr>
            <w:r>
              <w:rPr>
                <w:sz w:val="22"/>
              </w:rPr>
              <w:t>Technical conservation advice, documentation and training</w:t>
            </w:r>
          </w:p>
        </w:tc>
        <w:tc>
          <w:tcPr>
            <w:tcW w:w="3120" w:type="dxa"/>
          </w:tcPr>
          <w:p w14:paraId="4C9E45A0" w14:textId="77777777" w:rsidR="00D5591D" w:rsidRDefault="00000000">
            <w:pPr>
              <w:spacing w:after="0"/>
            </w:pPr>
            <w:r>
              <w:rPr>
                <w:sz w:val="22"/>
              </w:rPr>
              <w:t>Protects authenticity and reduces poor intervention</w:t>
            </w:r>
          </w:p>
        </w:tc>
      </w:tr>
      <w:tr w:rsidR="00D5591D" w14:paraId="61C15C31" w14:textId="77777777">
        <w:trPr>
          <w:jc w:val="center"/>
        </w:trPr>
        <w:tc>
          <w:tcPr>
            <w:tcW w:w="3120" w:type="dxa"/>
          </w:tcPr>
          <w:p w14:paraId="6A44F2F8" w14:textId="77777777" w:rsidR="00D5591D" w:rsidRDefault="00000000">
            <w:pPr>
              <w:spacing w:after="0"/>
            </w:pPr>
            <w:r>
              <w:rPr>
                <w:sz w:val="22"/>
              </w:rPr>
              <w:t>Local communities</w:t>
            </w:r>
          </w:p>
        </w:tc>
        <w:tc>
          <w:tcPr>
            <w:tcW w:w="3120" w:type="dxa"/>
          </w:tcPr>
          <w:p w14:paraId="722A11E5" w14:textId="77777777" w:rsidR="00D5591D" w:rsidRDefault="00000000">
            <w:pPr>
              <w:spacing w:after="0"/>
            </w:pPr>
            <w:r>
              <w:rPr>
                <w:sz w:val="22"/>
              </w:rPr>
              <w:t>Knowledge, stewardship, cultural continuity and monitoring</w:t>
            </w:r>
          </w:p>
        </w:tc>
        <w:tc>
          <w:tcPr>
            <w:tcW w:w="3120" w:type="dxa"/>
          </w:tcPr>
          <w:p w14:paraId="52FD7D6B" w14:textId="77777777" w:rsidR="00D5591D" w:rsidRDefault="00000000">
            <w:pPr>
              <w:spacing w:after="0"/>
            </w:pPr>
            <w:r>
              <w:rPr>
                <w:sz w:val="22"/>
              </w:rPr>
              <w:t>Improves legitimacy and keeps heritage socially meaningful</w:t>
            </w:r>
          </w:p>
        </w:tc>
      </w:tr>
      <w:tr w:rsidR="00D5591D" w14:paraId="48926D76" w14:textId="77777777">
        <w:trPr>
          <w:jc w:val="center"/>
        </w:trPr>
        <w:tc>
          <w:tcPr>
            <w:tcW w:w="3120" w:type="dxa"/>
          </w:tcPr>
          <w:p w14:paraId="51FABA56" w14:textId="77777777" w:rsidR="00D5591D" w:rsidRDefault="00000000">
            <w:pPr>
              <w:spacing w:after="0"/>
            </w:pPr>
            <w:r>
              <w:rPr>
                <w:sz w:val="22"/>
              </w:rPr>
              <w:t>Tourism operators</w:t>
            </w:r>
          </w:p>
        </w:tc>
        <w:tc>
          <w:tcPr>
            <w:tcW w:w="3120" w:type="dxa"/>
          </w:tcPr>
          <w:p w14:paraId="1ACB5CB9" w14:textId="77777777" w:rsidR="00D5591D" w:rsidRDefault="00000000">
            <w:pPr>
              <w:spacing w:after="0"/>
            </w:pPr>
            <w:r>
              <w:rPr>
                <w:sz w:val="22"/>
              </w:rPr>
              <w:t>Visitor services, interpretation and responsible marketing</w:t>
            </w:r>
          </w:p>
        </w:tc>
        <w:tc>
          <w:tcPr>
            <w:tcW w:w="3120" w:type="dxa"/>
          </w:tcPr>
          <w:p w14:paraId="06B0D2C4" w14:textId="77777777" w:rsidR="00D5591D" w:rsidRDefault="00000000">
            <w:pPr>
              <w:spacing w:after="0"/>
            </w:pPr>
            <w:r>
              <w:rPr>
                <w:sz w:val="22"/>
              </w:rPr>
              <w:t>Can reduce pressure when operating within site rules</w:t>
            </w:r>
          </w:p>
        </w:tc>
      </w:tr>
      <w:tr w:rsidR="00D5591D" w14:paraId="4C986D68" w14:textId="77777777">
        <w:trPr>
          <w:jc w:val="center"/>
        </w:trPr>
        <w:tc>
          <w:tcPr>
            <w:tcW w:w="3120" w:type="dxa"/>
          </w:tcPr>
          <w:p w14:paraId="347E33EA" w14:textId="77777777" w:rsidR="00D5591D" w:rsidRDefault="00000000">
            <w:pPr>
              <w:spacing w:after="0"/>
            </w:pPr>
            <w:r>
              <w:rPr>
                <w:sz w:val="22"/>
              </w:rPr>
              <w:t>Researchers and educators</w:t>
            </w:r>
          </w:p>
        </w:tc>
        <w:tc>
          <w:tcPr>
            <w:tcW w:w="3120" w:type="dxa"/>
          </w:tcPr>
          <w:p w14:paraId="689A6EFF" w14:textId="77777777" w:rsidR="00D5591D" w:rsidRDefault="00000000">
            <w:pPr>
              <w:spacing w:after="0"/>
            </w:pPr>
            <w:r>
              <w:rPr>
                <w:sz w:val="22"/>
              </w:rPr>
              <w:t>Evidence, interpretation and public learning</w:t>
            </w:r>
          </w:p>
        </w:tc>
        <w:tc>
          <w:tcPr>
            <w:tcW w:w="3120" w:type="dxa"/>
          </w:tcPr>
          <w:p w14:paraId="07A1286C" w14:textId="77777777" w:rsidR="00D5591D" w:rsidRDefault="00000000">
            <w:pPr>
              <w:spacing w:after="0"/>
            </w:pPr>
            <w:r>
              <w:rPr>
                <w:sz w:val="22"/>
              </w:rPr>
              <w:t>Supports informed decision-making and long-term awareness</w:t>
            </w:r>
          </w:p>
        </w:tc>
      </w:tr>
    </w:tbl>
    <w:p w14:paraId="0EAA1523" w14:textId="77777777" w:rsidR="00D5591D" w:rsidRDefault="00D5591D"/>
    <w:sectPr w:rsidR="00D5591D" w:rsidSect="00034616">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ADF0A7" w14:textId="77777777" w:rsidR="008B27A8" w:rsidRDefault="008B27A8">
      <w:pPr>
        <w:spacing w:after="0" w:line="240" w:lineRule="auto"/>
      </w:pPr>
      <w:r>
        <w:separator/>
      </w:r>
    </w:p>
  </w:endnote>
  <w:endnote w:type="continuationSeparator" w:id="0">
    <w:p w14:paraId="1EB8D355" w14:textId="77777777" w:rsidR="008B27A8" w:rsidRDefault="008B27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1DE1A" w14:textId="77777777" w:rsidR="00D5591D" w:rsidRDefault="00000000">
    <w:pPr>
      <w:pStyle w:val="Footer"/>
      <w:jc w:val="center"/>
    </w:pPr>
    <w:r>
      <w:rPr>
        <w:sz w:val="20"/>
      </w:rPr>
      <w:t xml:space="preserve">Page </w:t>
    </w:r>
    <w:r>
      <w:rPr>
        <w:sz w:val="20"/>
      </w:rPr>
      <w:fldChar w:fldCharType="begin"/>
    </w:r>
    <w:r>
      <w:rPr>
        <w:sz w:val="20"/>
      </w:rPr>
      <w:instrText>PAGE</w:instrText>
    </w:r>
    <w:r>
      <w:rPr>
        <w:sz w:val="20"/>
      </w:rPr>
      <w:fldChar w:fldCharType="separate"/>
    </w:r>
    <w:r>
      <w:rPr>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456147" w14:textId="77777777" w:rsidR="008B27A8" w:rsidRDefault="008B27A8">
      <w:pPr>
        <w:spacing w:after="0" w:line="240" w:lineRule="auto"/>
      </w:pPr>
      <w:r>
        <w:separator/>
      </w:r>
    </w:p>
  </w:footnote>
  <w:footnote w:type="continuationSeparator" w:id="0">
    <w:p w14:paraId="10FF27D4" w14:textId="77777777" w:rsidR="008B27A8" w:rsidRDefault="008B27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6D114" w14:textId="77777777" w:rsidR="00D5591D" w:rsidRDefault="00000000">
    <w:pPr>
      <w:pStyle w:val="Header"/>
      <w:jc w:val="right"/>
    </w:pPr>
    <w:r>
      <w:rPr>
        <w:sz w:val="20"/>
      </w:rPr>
      <w:t>Sustainable Heritage Site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622201056">
    <w:abstractNumId w:val="8"/>
  </w:num>
  <w:num w:numId="2" w16cid:durableId="1778020703">
    <w:abstractNumId w:val="6"/>
  </w:num>
  <w:num w:numId="3" w16cid:durableId="536356753">
    <w:abstractNumId w:val="5"/>
  </w:num>
  <w:num w:numId="4" w16cid:durableId="1302686727">
    <w:abstractNumId w:val="4"/>
  </w:num>
  <w:num w:numId="5" w16cid:durableId="285504161">
    <w:abstractNumId w:val="7"/>
  </w:num>
  <w:num w:numId="6" w16cid:durableId="1638144205">
    <w:abstractNumId w:val="3"/>
  </w:num>
  <w:num w:numId="7" w16cid:durableId="304706696">
    <w:abstractNumId w:val="2"/>
  </w:num>
  <w:num w:numId="8" w16cid:durableId="1764914463">
    <w:abstractNumId w:val="1"/>
  </w:num>
  <w:num w:numId="9" w16cid:durableId="17178502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A0E11"/>
    <w:rsid w:val="0015074B"/>
    <w:rsid w:val="0029639D"/>
    <w:rsid w:val="00326F90"/>
    <w:rsid w:val="00834862"/>
    <w:rsid w:val="008B27A8"/>
    <w:rsid w:val="00AA1D8D"/>
    <w:rsid w:val="00B47730"/>
    <w:rsid w:val="00CB0664"/>
    <w:rsid w:val="00D5591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8FFD73B"/>
  <w14:defaultImageDpi w14:val="300"/>
  <w15:docId w15:val="{366EF85E-818A-4FFC-9E8E-A06A674A5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48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3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5120</Words>
  <Characters>29187</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34239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Priyansh singh</cp:lastModifiedBy>
  <cp:revision>2</cp:revision>
  <dcterms:created xsi:type="dcterms:W3CDTF">2013-12-23T23:15:00Z</dcterms:created>
  <dcterms:modified xsi:type="dcterms:W3CDTF">2026-05-18T13:27:00Z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695bd7e7-0cf2-4aca-958f-4adf246fba53</vt:lpwstr>
  </property>
</Properties>
</file>