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CD058" w14:textId="5CFB3988" w:rsidR="004959B8" w:rsidRDefault="004959B8" w:rsidP="004959B8">
      <w:pPr>
        <w:spacing w:line="278" w:lineRule="auto"/>
        <w:jc w:val="right"/>
      </w:pPr>
      <w:r w:rsidRPr="004959B8">
        <w:drawing>
          <wp:inline distT="0" distB="0" distL="0" distR="0" wp14:anchorId="2CDB060D" wp14:editId="6983ECEC">
            <wp:extent cx="2034716" cy="1950889"/>
            <wp:effectExtent l="0" t="0" r="3810" b="0"/>
            <wp:docPr id="415414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414553" name=""/>
                    <pic:cNvPicPr/>
                  </pic:nvPicPr>
                  <pic:blipFill>
                    <a:blip r:embed="rId5"/>
                    <a:stretch>
                      <a:fillRect/>
                    </a:stretch>
                  </pic:blipFill>
                  <pic:spPr>
                    <a:xfrm>
                      <a:off x="0" y="0"/>
                      <a:ext cx="2034716" cy="1950889"/>
                    </a:xfrm>
                    <a:prstGeom prst="rect">
                      <a:avLst/>
                    </a:prstGeom>
                  </pic:spPr>
                </pic:pic>
              </a:graphicData>
            </a:graphic>
          </wp:inline>
        </w:drawing>
      </w:r>
    </w:p>
    <w:p w14:paraId="6470EC71" w14:textId="77777777" w:rsidR="004959B8" w:rsidRDefault="004959B8" w:rsidP="004959B8">
      <w:pPr>
        <w:spacing w:line="278" w:lineRule="auto"/>
        <w:jc w:val="center"/>
      </w:pPr>
    </w:p>
    <w:p w14:paraId="34AC15EB" w14:textId="77777777" w:rsidR="004959B8" w:rsidRDefault="004959B8" w:rsidP="004959B8">
      <w:pPr>
        <w:spacing w:line="278" w:lineRule="auto"/>
        <w:jc w:val="center"/>
      </w:pPr>
    </w:p>
    <w:p w14:paraId="2BCEDFE8" w14:textId="77777777" w:rsidR="004959B8" w:rsidRDefault="004959B8" w:rsidP="004959B8">
      <w:pPr>
        <w:spacing w:line="278" w:lineRule="auto"/>
        <w:jc w:val="center"/>
      </w:pPr>
    </w:p>
    <w:p w14:paraId="0E29D0B4" w14:textId="77777777" w:rsidR="004959B8" w:rsidRDefault="004959B8" w:rsidP="004959B8">
      <w:pPr>
        <w:spacing w:line="278" w:lineRule="auto"/>
        <w:jc w:val="center"/>
      </w:pPr>
    </w:p>
    <w:p w14:paraId="0A39A39C" w14:textId="77777777" w:rsidR="004959B8" w:rsidRDefault="004959B8" w:rsidP="004959B8">
      <w:pPr>
        <w:spacing w:line="278" w:lineRule="auto"/>
      </w:pPr>
    </w:p>
    <w:p w14:paraId="01E657B1" w14:textId="77777777" w:rsidR="004959B8" w:rsidRDefault="004959B8" w:rsidP="004959B8">
      <w:pPr>
        <w:spacing w:line="278" w:lineRule="auto"/>
        <w:jc w:val="center"/>
      </w:pPr>
    </w:p>
    <w:p w14:paraId="7CBEC5A3" w14:textId="787CED7E" w:rsidR="004959B8" w:rsidRPr="004959B8" w:rsidRDefault="004959B8" w:rsidP="004959B8">
      <w:pPr>
        <w:jc w:val="center"/>
        <w:rPr>
          <w:b/>
          <w:bCs/>
          <w:sz w:val="36"/>
          <w:szCs w:val="36"/>
          <w:lang w:val="en-US"/>
        </w:rPr>
      </w:pPr>
      <w:r w:rsidRPr="004959B8">
        <w:rPr>
          <w:b/>
          <w:bCs/>
          <w:sz w:val="36"/>
          <w:szCs w:val="36"/>
          <w:lang w:val="en-US"/>
        </w:rPr>
        <w:t>Cultural Heritage Management</w:t>
      </w:r>
    </w:p>
    <w:p w14:paraId="3B1E535F" w14:textId="60463EDC" w:rsidR="00EB0EB7" w:rsidRDefault="00EB0EB7" w:rsidP="004959B8">
      <w:pPr>
        <w:spacing w:line="278" w:lineRule="auto"/>
        <w:jc w:val="center"/>
      </w:pPr>
      <w:r>
        <w:br w:type="page"/>
      </w:r>
    </w:p>
    <w:p w14:paraId="0A55D829" w14:textId="08210866" w:rsidR="000E3FF1" w:rsidRPr="00EB0EB7" w:rsidRDefault="00EB0EB7" w:rsidP="00EB0EB7">
      <w:pPr>
        <w:pStyle w:val="ListParagraph"/>
        <w:numPr>
          <w:ilvl w:val="0"/>
          <w:numId w:val="1"/>
        </w:numPr>
        <w:rPr>
          <w:b/>
          <w:bCs/>
        </w:rPr>
      </w:pPr>
      <w:r w:rsidRPr="00EB0EB7">
        <w:rPr>
          <w:b/>
          <w:bCs/>
        </w:rPr>
        <w:lastRenderedPageBreak/>
        <w:t>Define cultural heritage. How do international organizations such as UNESCO conceptualize heritage?</w:t>
      </w:r>
    </w:p>
    <w:p w14:paraId="1F8F3BD9" w14:textId="623F9BE6" w:rsidR="00EB0EB7" w:rsidRDefault="00EB0EB7" w:rsidP="00EB0EB7">
      <w:r>
        <w:t>Cultural heritage can be defined as the legacy or inherited examples of material artefacts, cultural manifestations, knowledge systems, and values that communities consider as part of themselves and the transition of the generations</w:t>
      </w:r>
      <w:r>
        <w:t xml:space="preserve"> </w:t>
      </w:r>
      <w:r w:rsidRPr="00EB0EB7">
        <w:t>(</w:t>
      </w:r>
      <w:proofErr w:type="spellStart"/>
      <w:r w:rsidRPr="00EB0EB7">
        <w:t>Brumann</w:t>
      </w:r>
      <w:proofErr w:type="spellEnd"/>
      <w:r w:rsidRPr="00EB0EB7">
        <w:t>, 2015)</w:t>
      </w:r>
      <w:r>
        <w:t xml:space="preserve">. It encompasses both physical aspects (e.g., monuments, sites) and abstract aspects (e.g., traditions, languages, rituals), emphasizing the fact that culture is situated both materially and practically. More importantly, heritage is not absolute and objective but rather a socially constructed phenomenon, which is prone to power relations whereby some histories remain alive as others are sidelined. Therefore, cultural heritage is not only a depiction of the past, but also of </w:t>
      </w:r>
      <w:proofErr w:type="gramStart"/>
      <w:r>
        <w:t>modern day</w:t>
      </w:r>
      <w:proofErr w:type="gramEnd"/>
      <w:r>
        <w:t xml:space="preserve"> priorities and identity politics.</w:t>
      </w:r>
    </w:p>
    <w:p w14:paraId="7A912729" w14:textId="33F04CD1" w:rsidR="00EB0EB7" w:rsidRDefault="00EB0EB7" w:rsidP="00EB0EB7">
      <w:r>
        <w:t xml:space="preserve">The international institutions like UNESCO conceptualize heritage by the use of a broad and normative system that tends to focus on outlining the outstanding universal value and global accountability </w:t>
      </w:r>
      <w:r w:rsidRPr="00EB0EB7">
        <w:t>(Adrián Rodríguez-Segura, Mar Loren-Méndez and José María Galán-Conde, 2024)</w:t>
      </w:r>
      <w:r>
        <w:t xml:space="preserve">. Although this practice is conducive to conservation, intercultural dialogue, and sustainable development, it was criticized to be biased towards Western-centric concept of authenticity and monumental heritage. Even though UNESCO has moved toward more intangible and community-based heritage, conflicts lie between the global and the local agency. Thus, heritage as a practice of UNESCO also serves as an instrument of cultural </w:t>
      </w:r>
      <w:proofErr w:type="spellStart"/>
      <w:r>
        <w:t>defense</w:t>
      </w:r>
      <w:proofErr w:type="spellEnd"/>
      <w:r>
        <w:t xml:space="preserve"> as well as a political concession zone, which needs to be more inclusive and community-based.</w:t>
      </w:r>
    </w:p>
    <w:p w14:paraId="4084E867" w14:textId="3FE3B521" w:rsidR="00EB0EB7" w:rsidRPr="00EB0EB7" w:rsidRDefault="00EB0EB7" w:rsidP="00EB0EB7">
      <w:pPr>
        <w:pStyle w:val="ListParagraph"/>
        <w:numPr>
          <w:ilvl w:val="0"/>
          <w:numId w:val="1"/>
        </w:numPr>
        <w:spacing w:line="276" w:lineRule="auto"/>
        <w:rPr>
          <w:b/>
          <w:bCs/>
          <w:lang w:val="en-US"/>
        </w:rPr>
      </w:pPr>
      <w:r w:rsidRPr="00EB0EB7">
        <w:rPr>
          <w:b/>
          <w:bCs/>
          <w:lang w:val="en-US"/>
        </w:rPr>
        <w:t>Differentiate between</w:t>
      </w:r>
      <w:r w:rsidRPr="00EB0EB7">
        <w:rPr>
          <w:b/>
          <w:bCs/>
          <w:lang w:val="en-US"/>
        </w:rPr>
        <w:t xml:space="preserve"> </w:t>
      </w:r>
      <w:r w:rsidRPr="00EB0EB7">
        <w:rPr>
          <w:b/>
          <w:bCs/>
          <w:lang w:val="en-US"/>
        </w:rPr>
        <w:t>Tangible heritage</w:t>
      </w:r>
      <w:r w:rsidRPr="00EB0EB7">
        <w:rPr>
          <w:b/>
          <w:bCs/>
          <w:lang w:val="en-US"/>
        </w:rPr>
        <w:t xml:space="preserve"> and </w:t>
      </w:r>
      <w:r w:rsidRPr="00EB0EB7">
        <w:rPr>
          <w:b/>
          <w:bCs/>
          <w:lang w:val="en-US"/>
        </w:rPr>
        <w:t>Intangible heritage</w:t>
      </w:r>
    </w:p>
    <w:tbl>
      <w:tblPr>
        <w:tblStyle w:val="GridTable4-Accent2"/>
        <w:tblW w:w="0" w:type="auto"/>
        <w:tblLook w:val="04A0" w:firstRow="1" w:lastRow="0" w:firstColumn="1" w:lastColumn="0" w:noHBand="0" w:noVBand="1"/>
      </w:tblPr>
      <w:tblGrid>
        <w:gridCol w:w="1518"/>
        <w:gridCol w:w="3638"/>
        <w:gridCol w:w="3860"/>
      </w:tblGrid>
      <w:tr w:rsidR="00EB0EB7" w:rsidRPr="00EB0EB7" w14:paraId="592A891F" w14:textId="77777777" w:rsidTr="00EB0E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6" w:type="dxa"/>
          </w:tcPr>
          <w:p w14:paraId="041E7E2D" w14:textId="45548554" w:rsidR="00EB0EB7" w:rsidRPr="00EB0EB7" w:rsidRDefault="00EB0EB7" w:rsidP="00EB0EB7">
            <w:pPr>
              <w:jc w:val="center"/>
              <w:rPr>
                <w:color w:val="auto"/>
              </w:rPr>
            </w:pPr>
            <w:r w:rsidRPr="00EB0EB7">
              <w:rPr>
                <w:color w:val="auto"/>
              </w:rPr>
              <w:t>Criteria</w:t>
            </w:r>
          </w:p>
        </w:tc>
        <w:tc>
          <w:tcPr>
            <w:tcW w:w="3682" w:type="dxa"/>
          </w:tcPr>
          <w:p w14:paraId="20DB38CD" w14:textId="568BBA16" w:rsidR="00EB0EB7" w:rsidRPr="00EB0EB7" w:rsidRDefault="00EB0EB7" w:rsidP="00EB0EB7">
            <w:pPr>
              <w:jc w:val="center"/>
              <w:cnfStyle w:val="100000000000" w:firstRow="1" w:lastRow="0" w:firstColumn="0" w:lastColumn="0" w:oddVBand="0" w:evenVBand="0" w:oddHBand="0" w:evenHBand="0" w:firstRowFirstColumn="0" w:firstRowLastColumn="0" w:lastRowFirstColumn="0" w:lastRowLastColumn="0"/>
              <w:rPr>
                <w:color w:val="auto"/>
              </w:rPr>
            </w:pPr>
            <w:r w:rsidRPr="00EB0EB7">
              <w:rPr>
                <w:color w:val="auto"/>
              </w:rPr>
              <w:t>Tangible Heritage</w:t>
            </w:r>
          </w:p>
        </w:tc>
        <w:tc>
          <w:tcPr>
            <w:tcW w:w="3918" w:type="dxa"/>
          </w:tcPr>
          <w:p w14:paraId="151EC9A5" w14:textId="496EBE46" w:rsidR="00EB0EB7" w:rsidRPr="00EB0EB7" w:rsidRDefault="00EB0EB7" w:rsidP="00EB0EB7">
            <w:pPr>
              <w:jc w:val="center"/>
              <w:cnfStyle w:val="100000000000" w:firstRow="1" w:lastRow="0" w:firstColumn="0" w:lastColumn="0" w:oddVBand="0" w:evenVBand="0" w:oddHBand="0" w:evenHBand="0" w:firstRowFirstColumn="0" w:firstRowLastColumn="0" w:lastRowFirstColumn="0" w:lastRowLastColumn="0"/>
              <w:rPr>
                <w:color w:val="auto"/>
              </w:rPr>
            </w:pPr>
            <w:r w:rsidRPr="00EB0EB7">
              <w:rPr>
                <w:color w:val="auto"/>
              </w:rPr>
              <w:t>Intangible Heritage</w:t>
            </w:r>
          </w:p>
        </w:tc>
      </w:tr>
      <w:tr w:rsidR="00EB0EB7" w14:paraId="6343ADDB" w14:textId="77777777" w:rsidTr="00EB0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6" w:type="dxa"/>
          </w:tcPr>
          <w:p w14:paraId="4FDB3D5B" w14:textId="38866CEE" w:rsidR="00EB0EB7" w:rsidRDefault="00EB0EB7" w:rsidP="00EB0EB7">
            <w:pPr>
              <w:jc w:val="center"/>
            </w:pPr>
            <w:r w:rsidRPr="00FB134A">
              <w:t>Definition</w:t>
            </w:r>
          </w:p>
        </w:tc>
        <w:tc>
          <w:tcPr>
            <w:tcW w:w="3682" w:type="dxa"/>
          </w:tcPr>
          <w:p w14:paraId="28CDB6C2" w14:textId="791A42AB" w:rsidR="00EB0EB7" w:rsidRDefault="00EB0EB7" w:rsidP="00EB0EB7">
            <w:pPr>
              <w:cnfStyle w:val="000000100000" w:firstRow="0" w:lastRow="0" w:firstColumn="0" w:lastColumn="0" w:oddVBand="0" w:evenVBand="0" w:oddHBand="1" w:evenHBand="0" w:firstRowFirstColumn="0" w:firstRowLastColumn="0" w:lastRowFirstColumn="0" w:lastRowLastColumn="0"/>
            </w:pPr>
            <w:r w:rsidRPr="00FB134A">
              <w:t>Physical, material cultural assets such as monuments, artefacts, and sites that have historical or aesthetic value</w:t>
            </w:r>
            <w:r w:rsidR="00A67606">
              <w:t xml:space="preserve"> </w:t>
            </w:r>
            <w:r w:rsidR="00A67606" w:rsidRPr="00A67606">
              <w:t>(</w:t>
            </w:r>
            <w:proofErr w:type="spellStart"/>
            <w:r w:rsidR="00A67606" w:rsidRPr="00A67606">
              <w:t>Brumann</w:t>
            </w:r>
            <w:proofErr w:type="spellEnd"/>
            <w:r w:rsidR="00A67606" w:rsidRPr="00A67606">
              <w:t>, 2015)</w:t>
            </w:r>
            <w:r w:rsidRPr="00FB134A">
              <w:t>.</w:t>
            </w:r>
          </w:p>
        </w:tc>
        <w:tc>
          <w:tcPr>
            <w:tcW w:w="3918" w:type="dxa"/>
          </w:tcPr>
          <w:p w14:paraId="76E8FD20" w14:textId="486A8837" w:rsidR="00EB0EB7" w:rsidRDefault="00EB0EB7" w:rsidP="00EB0EB7">
            <w:pPr>
              <w:cnfStyle w:val="000000100000" w:firstRow="0" w:lastRow="0" w:firstColumn="0" w:lastColumn="0" w:oddVBand="0" w:evenVBand="0" w:oddHBand="1" w:evenHBand="0" w:firstRowFirstColumn="0" w:firstRowLastColumn="0" w:lastRowFirstColumn="0" w:lastRowLastColumn="0"/>
            </w:pPr>
            <w:r w:rsidRPr="00FB134A">
              <w:t>Non-physical cultural expressions including traditions, rituals, languages, and knowledge systems transmitted across generations</w:t>
            </w:r>
            <w:r w:rsidR="004959B8">
              <w:t xml:space="preserve"> </w:t>
            </w:r>
            <w:r w:rsidR="004959B8" w:rsidRPr="004959B8">
              <w:t>(Khaled Benfafa, 2025)</w:t>
            </w:r>
            <w:r w:rsidRPr="00FB134A">
              <w:t>.</w:t>
            </w:r>
          </w:p>
        </w:tc>
      </w:tr>
      <w:tr w:rsidR="00EB0EB7" w14:paraId="56FDD7AC" w14:textId="77777777" w:rsidTr="00EB0EB7">
        <w:tc>
          <w:tcPr>
            <w:cnfStyle w:val="001000000000" w:firstRow="0" w:lastRow="0" w:firstColumn="1" w:lastColumn="0" w:oddVBand="0" w:evenVBand="0" w:oddHBand="0" w:evenHBand="0" w:firstRowFirstColumn="0" w:firstRowLastColumn="0" w:lastRowFirstColumn="0" w:lastRowLastColumn="0"/>
            <w:tcW w:w="1416" w:type="dxa"/>
          </w:tcPr>
          <w:p w14:paraId="04B768D3" w14:textId="36D77054" w:rsidR="00EB0EB7" w:rsidRDefault="00EB0EB7" w:rsidP="00EB0EB7">
            <w:pPr>
              <w:jc w:val="center"/>
            </w:pPr>
            <w:r w:rsidRPr="00FB134A">
              <w:t>Nature</w:t>
            </w:r>
          </w:p>
        </w:tc>
        <w:tc>
          <w:tcPr>
            <w:tcW w:w="3682" w:type="dxa"/>
          </w:tcPr>
          <w:p w14:paraId="0B3D1A35" w14:textId="01FD0B27" w:rsidR="00EB0EB7" w:rsidRDefault="00EB0EB7" w:rsidP="00EB0EB7">
            <w:pPr>
              <w:cnfStyle w:val="000000000000" w:firstRow="0" w:lastRow="0" w:firstColumn="0" w:lastColumn="0" w:oddVBand="0" w:evenVBand="0" w:oddHBand="0" w:evenHBand="0" w:firstRowFirstColumn="0" w:firstRowLastColumn="0" w:lastRowFirstColumn="0" w:lastRowLastColumn="0"/>
            </w:pPr>
            <w:r w:rsidRPr="00FB134A">
              <w:t>Static, visible, and easier to document and institutionalize.</w:t>
            </w:r>
          </w:p>
        </w:tc>
        <w:tc>
          <w:tcPr>
            <w:tcW w:w="3918" w:type="dxa"/>
          </w:tcPr>
          <w:p w14:paraId="42231588" w14:textId="63A19954" w:rsidR="00EB0EB7" w:rsidRDefault="00EB0EB7" w:rsidP="00EB0EB7">
            <w:pPr>
              <w:cnfStyle w:val="000000000000" w:firstRow="0" w:lastRow="0" w:firstColumn="0" w:lastColumn="0" w:oddVBand="0" w:evenVBand="0" w:oddHBand="0" w:evenHBand="0" w:firstRowFirstColumn="0" w:firstRowLastColumn="0" w:lastRowFirstColumn="0" w:lastRowLastColumn="0"/>
            </w:pPr>
            <w:r w:rsidRPr="00FB134A">
              <w:t>Dynamic, fluid, and continuously recreated through social practice.</w:t>
            </w:r>
          </w:p>
        </w:tc>
      </w:tr>
      <w:tr w:rsidR="00EB0EB7" w14:paraId="6B069EDD" w14:textId="77777777" w:rsidTr="00EB0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6" w:type="dxa"/>
          </w:tcPr>
          <w:p w14:paraId="3671A6DE" w14:textId="49841444" w:rsidR="00EB0EB7" w:rsidRDefault="00EB0EB7" w:rsidP="00EB0EB7">
            <w:pPr>
              <w:jc w:val="center"/>
            </w:pPr>
            <w:r w:rsidRPr="00FB134A">
              <w:t>Positive Aspects</w:t>
            </w:r>
          </w:p>
        </w:tc>
        <w:tc>
          <w:tcPr>
            <w:tcW w:w="3682" w:type="dxa"/>
          </w:tcPr>
          <w:p w14:paraId="411B533D" w14:textId="6B0A62FF" w:rsidR="00EB0EB7" w:rsidRDefault="00EB0EB7" w:rsidP="00EB0EB7">
            <w:pPr>
              <w:cnfStyle w:val="000000100000" w:firstRow="0" w:lastRow="0" w:firstColumn="0" w:lastColumn="0" w:oddVBand="0" w:evenVBand="0" w:oddHBand="1" w:evenHBand="0" w:firstRowFirstColumn="0" w:firstRowLastColumn="0" w:lastRowFirstColumn="0" w:lastRowLastColumn="0"/>
            </w:pPr>
            <w:r w:rsidRPr="00FB134A">
              <w:t xml:space="preserve">Provides concrete historical evidence; easier to conserve through legal and technical </w:t>
            </w:r>
            <w:r w:rsidRPr="00FB134A">
              <w:lastRenderedPageBreak/>
              <w:t>frameworks; attracts tourism and economic benefits.</w:t>
            </w:r>
          </w:p>
        </w:tc>
        <w:tc>
          <w:tcPr>
            <w:tcW w:w="3918" w:type="dxa"/>
          </w:tcPr>
          <w:p w14:paraId="505514AA" w14:textId="0884B8DE" w:rsidR="00EB0EB7" w:rsidRDefault="00EB0EB7" w:rsidP="00EB0EB7">
            <w:pPr>
              <w:cnfStyle w:val="000000100000" w:firstRow="0" w:lastRow="0" w:firstColumn="0" w:lastColumn="0" w:oddVBand="0" w:evenVBand="0" w:oddHBand="1" w:evenHBand="0" w:firstRowFirstColumn="0" w:firstRowLastColumn="0" w:lastRowFirstColumn="0" w:lastRowLastColumn="0"/>
            </w:pPr>
            <w:r w:rsidRPr="00FB134A">
              <w:lastRenderedPageBreak/>
              <w:t>Promotes cultural diversity, identity, and social cohesion; community-</w:t>
            </w:r>
            <w:r w:rsidRPr="00FB134A">
              <w:lastRenderedPageBreak/>
              <w:t>driven and adaptable; sustains living cultural practices.</w:t>
            </w:r>
          </w:p>
        </w:tc>
      </w:tr>
      <w:tr w:rsidR="00EB0EB7" w14:paraId="308F862A" w14:textId="77777777" w:rsidTr="00EB0EB7">
        <w:tc>
          <w:tcPr>
            <w:cnfStyle w:val="001000000000" w:firstRow="0" w:lastRow="0" w:firstColumn="1" w:lastColumn="0" w:oddVBand="0" w:evenVBand="0" w:oddHBand="0" w:evenHBand="0" w:firstRowFirstColumn="0" w:firstRowLastColumn="0" w:lastRowFirstColumn="0" w:lastRowLastColumn="0"/>
            <w:tcW w:w="1416" w:type="dxa"/>
          </w:tcPr>
          <w:p w14:paraId="78096DB5" w14:textId="66B4C33C" w:rsidR="00EB0EB7" w:rsidRDefault="00EB0EB7" w:rsidP="00EB0EB7">
            <w:pPr>
              <w:jc w:val="center"/>
            </w:pPr>
            <w:r w:rsidRPr="00FB134A">
              <w:lastRenderedPageBreak/>
              <w:t>Negative Aspects</w:t>
            </w:r>
          </w:p>
        </w:tc>
        <w:tc>
          <w:tcPr>
            <w:tcW w:w="3682" w:type="dxa"/>
          </w:tcPr>
          <w:p w14:paraId="1CC2A879" w14:textId="17E674E5" w:rsidR="00EB0EB7" w:rsidRDefault="00EB0EB7" w:rsidP="00EB0EB7">
            <w:pPr>
              <w:cnfStyle w:val="000000000000" w:firstRow="0" w:lastRow="0" w:firstColumn="0" w:lastColumn="0" w:oddVBand="0" w:evenVBand="0" w:oddHBand="0" w:evenHBand="0" w:firstRowFirstColumn="0" w:firstRowLastColumn="0" w:lastRowFirstColumn="0" w:lastRowLastColumn="0"/>
            </w:pPr>
            <w:r w:rsidRPr="00FB134A">
              <w:t>Can lead to commodification and “museumification”; often reflects elite or dominant histories, marginalizing subaltern narratives.</w:t>
            </w:r>
          </w:p>
        </w:tc>
        <w:tc>
          <w:tcPr>
            <w:tcW w:w="3918" w:type="dxa"/>
          </w:tcPr>
          <w:p w14:paraId="72C5FD33" w14:textId="0696168E" w:rsidR="00EB0EB7" w:rsidRDefault="00EB0EB7" w:rsidP="00EB0EB7">
            <w:pPr>
              <w:cnfStyle w:val="000000000000" w:firstRow="0" w:lastRow="0" w:firstColumn="0" w:lastColumn="0" w:oddVBand="0" w:evenVBand="0" w:oddHBand="0" w:evenHBand="0" w:firstRowFirstColumn="0" w:firstRowLastColumn="0" w:lastRowFirstColumn="0" w:lastRowLastColumn="0"/>
            </w:pPr>
            <w:r w:rsidRPr="00FB134A">
              <w:t xml:space="preserve">Difficult to safeguard due to its intangible nature; vulnerable to globalization, cultural homogenization, and loss of transmission </w:t>
            </w:r>
            <w:r w:rsidR="00A67606" w:rsidRPr="00A67606">
              <w:t>(</w:t>
            </w:r>
            <w:proofErr w:type="spellStart"/>
            <w:r w:rsidR="00A67606" w:rsidRPr="00A67606">
              <w:t>Stoliarchuk</w:t>
            </w:r>
            <w:proofErr w:type="spellEnd"/>
            <w:r w:rsidR="00A67606" w:rsidRPr="00A67606">
              <w:t xml:space="preserve"> et al., 2025)</w:t>
            </w:r>
            <w:r w:rsidRPr="00FB134A">
              <w:t>.</w:t>
            </w:r>
          </w:p>
        </w:tc>
      </w:tr>
      <w:tr w:rsidR="00EB0EB7" w14:paraId="0D90E982" w14:textId="77777777" w:rsidTr="00EB0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6" w:type="dxa"/>
          </w:tcPr>
          <w:p w14:paraId="0D1ABDD2" w14:textId="6D686959" w:rsidR="00EB0EB7" w:rsidRDefault="00EB0EB7" w:rsidP="00EB0EB7">
            <w:pPr>
              <w:jc w:val="center"/>
            </w:pPr>
            <w:r w:rsidRPr="00FB134A">
              <w:t>Governance &amp; Power</w:t>
            </w:r>
          </w:p>
        </w:tc>
        <w:tc>
          <w:tcPr>
            <w:tcW w:w="3682" w:type="dxa"/>
          </w:tcPr>
          <w:p w14:paraId="55F0DC7B" w14:textId="599E655B" w:rsidR="00EB0EB7" w:rsidRDefault="00EB0EB7" w:rsidP="00EB0EB7">
            <w:pPr>
              <w:cnfStyle w:val="000000100000" w:firstRow="0" w:lastRow="0" w:firstColumn="0" w:lastColumn="0" w:oddVBand="0" w:evenVBand="0" w:oddHBand="1" w:evenHBand="0" w:firstRowFirstColumn="0" w:firstRowLastColumn="0" w:lastRowFirstColumn="0" w:lastRowLastColumn="0"/>
            </w:pPr>
            <w:r w:rsidRPr="00FB134A">
              <w:t>Often controlled by state institutions and global bodies like UNESCO, reinforcing top-down heritage management.</w:t>
            </w:r>
          </w:p>
        </w:tc>
        <w:tc>
          <w:tcPr>
            <w:tcW w:w="3918" w:type="dxa"/>
          </w:tcPr>
          <w:p w14:paraId="1447478F" w14:textId="2CA32ECC" w:rsidR="00EB0EB7" w:rsidRDefault="00EB0EB7" w:rsidP="00EB0EB7">
            <w:pPr>
              <w:cnfStyle w:val="000000100000" w:firstRow="0" w:lastRow="0" w:firstColumn="0" w:lastColumn="0" w:oddVBand="0" w:evenVBand="0" w:oddHBand="1" w:evenHBand="0" w:firstRowFirstColumn="0" w:firstRowLastColumn="0" w:lastRowFirstColumn="0" w:lastRowLastColumn="0"/>
            </w:pPr>
            <w:r w:rsidRPr="00FB134A">
              <w:t>Increasingly recognized by UNESCO, yet still faces challenges of representation and authenticity, with risks of external appropriation.</w:t>
            </w:r>
          </w:p>
        </w:tc>
      </w:tr>
      <w:tr w:rsidR="00EB0EB7" w14:paraId="7C645F4B" w14:textId="77777777" w:rsidTr="00EB0EB7">
        <w:tc>
          <w:tcPr>
            <w:cnfStyle w:val="001000000000" w:firstRow="0" w:lastRow="0" w:firstColumn="1" w:lastColumn="0" w:oddVBand="0" w:evenVBand="0" w:oddHBand="0" w:evenHBand="0" w:firstRowFirstColumn="0" w:firstRowLastColumn="0" w:lastRowFirstColumn="0" w:lastRowLastColumn="0"/>
            <w:tcW w:w="1416" w:type="dxa"/>
          </w:tcPr>
          <w:p w14:paraId="0B5AC851" w14:textId="0B4720AE" w:rsidR="00EB0EB7" w:rsidRDefault="00EB0EB7" w:rsidP="00EB0EB7">
            <w:pPr>
              <w:jc w:val="center"/>
            </w:pPr>
            <w:r w:rsidRPr="00FB134A">
              <w:t>Preservation Approach</w:t>
            </w:r>
          </w:p>
        </w:tc>
        <w:tc>
          <w:tcPr>
            <w:tcW w:w="3682" w:type="dxa"/>
          </w:tcPr>
          <w:p w14:paraId="34C385B9" w14:textId="46EBFE3B" w:rsidR="00EB0EB7" w:rsidRDefault="00EB0EB7" w:rsidP="00EB0EB7">
            <w:pPr>
              <w:cnfStyle w:val="000000000000" w:firstRow="0" w:lastRow="0" w:firstColumn="0" w:lastColumn="0" w:oddVBand="0" w:evenVBand="0" w:oddHBand="0" w:evenHBand="0" w:firstRowFirstColumn="0" w:firstRowLastColumn="0" w:lastRowFirstColumn="0" w:lastRowLastColumn="0"/>
            </w:pPr>
            <w:r w:rsidRPr="00FB134A">
              <w:t>Conservation, restoration, and legal protection (e.g., World Heritage Sites).</w:t>
            </w:r>
          </w:p>
        </w:tc>
        <w:tc>
          <w:tcPr>
            <w:tcW w:w="3918" w:type="dxa"/>
          </w:tcPr>
          <w:p w14:paraId="4BEDC9D2" w14:textId="6685038F" w:rsidR="00EB0EB7" w:rsidRDefault="00EB0EB7" w:rsidP="00EB0EB7">
            <w:pPr>
              <w:cnfStyle w:val="000000000000" w:firstRow="0" w:lastRow="0" w:firstColumn="0" w:lastColumn="0" w:oddVBand="0" w:evenVBand="0" w:oddHBand="0" w:evenHBand="0" w:firstRowFirstColumn="0" w:firstRowLastColumn="0" w:lastRowFirstColumn="0" w:lastRowLastColumn="0"/>
            </w:pPr>
            <w:r w:rsidRPr="00FB134A">
              <w:t>Safeguarding through documentation, education, and community participation rather than physical preservation.</w:t>
            </w:r>
          </w:p>
        </w:tc>
      </w:tr>
    </w:tbl>
    <w:p w14:paraId="04BBDAD6" w14:textId="52320FDE" w:rsidR="00EB0EB7" w:rsidRDefault="00EB0EB7" w:rsidP="00EB0EB7"/>
    <w:p w14:paraId="65979CCD" w14:textId="77777777" w:rsidR="00EB0EB7" w:rsidRDefault="00EB0EB7">
      <w:pPr>
        <w:spacing w:line="278" w:lineRule="auto"/>
        <w:jc w:val="left"/>
      </w:pPr>
      <w:r>
        <w:br w:type="page"/>
      </w:r>
    </w:p>
    <w:p w14:paraId="5E007269" w14:textId="5E4B04AD" w:rsidR="00EB0EB7" w:rsidRPr="00EB0EB7" w:rsidRDefault="00EB0EB7" w:rsidP="00EB0EB7">
      <w:pPr>
        <w:rPr>
          <w:b/>
          <w:bCs/>
          <w:sz w:val="28"/>
          <w:szCs w:val="28"/>
        </w:rPr>
      </w:pPr>
      <w:r w:rsidRPr="00EB0EB7">
        <w:rPr>
          <w:b/>
          <w:bCs/>
          <w:sz w:val="28"/>
          <w:szCs w:val="28"/>
        </w:rPr>
        <w:lastRenderedPageBreak/>
        <w:t>References</w:t>
      </w:r>
    </w:p>
    <w:p w14:paraId="05CFBCC4" w14:textId="77777777" w:rsidR="004959B8" w:rsidRPr="004959B8" w:rsidRDefault="004959B8" w:rsidP="004959B8">
      <w:pPr>
        <w:rPr>
          <w:lang w:val="en-US"/>
        </w:rPr>
      </w:pPr>
      <w:r w:rsidRPr="004959B8">
        <w:rPr>
          <w:lang w:val="en-US"/>
        </w:rPr>
        <w:t xml:space="preserve">Adrián Rodríguez-Segura, Mar Loren-Méndez and José María Galán-Conde (2024). Operability, </w:t>
      </w:r>
      <w:proofErr w:type="spellStart"/>
      <w:r w:rsidRPr="004959B8">
        <w:rPr>
          <w:lang w:val="en-US"/>
        </w:rPr>
        <w:t>Multiscalarity</w:t>
      </w:r>
      <w:proofErr w:type="spellEnd"/>
      <w:r w:rsidRPr="004959B8">
        <w:rPr>
          <w:lang w:val="en-US"/>
        </w:rPr>
        <w:t xml:space="preserve">, Diversity, and Complexity in the UNESCO Heritage Regulatory Framework. </w:t>
      </w:r>
      <w:r w:rsidRPr="004959B8">
        <w:rPr>
          <w:i/>
          <w:iCs/>
          <w:lang w:val="en-US"/>
        </w:rPr>
        <w:t>Buildings</w:t>
      </w:r>
      <w:r w:rsidRPr="004959B8">
        <w:rPr>
          <w:lang w:val="en-US"/>
        </w:rPr>
        <w:t xml:space="preserve">, [online] 14(7), pp.2146–2146. </w:t>
      </w:r>
      <w:proofErr w:type="spellStart"/>
      <w:r w:rsidRPr="004959B8">
        <w:rPr>
          <w:lang w:val="en-US"/>
        </w:rPr>
        <w:t>doi:</w:t>
      </w:r>
      <w:hyperlink r:id="rId6" w:history="1">
        <w:r w:rsidRPr="004959B8">
          <w:rPr>
            <w:rStyle w:val="Hyperlink"/>
            <w:lang w:val="en-US"/>
          </w:rPr>
          <w:t>https</w:t>
        </w:r>
        <w:proofErr w:type="spellEnd"/>
        <w:r w:rsidRPr="004959B8">
          <w:rPr>
            <w:rStyle w:val="Hyperlink"/>
            <w:lang w:val="en-US"/>
          </w:rPr>
          <w:t>://doi.org/10.3390/buildings14072146</w:t>
        </w:r>
      </w:hyperlink>
      <w:r w:rsidRPr="004959B8">
        <w:rPr>
          <w:lang w:val="en-US"/>
        </w:rPr>
        <w:t>.</w:t>
      </w:r>
    </w:p>
    <w:p w14:paraId="0D894FB2" w14:textId="77777777" w:rsidR="004959B8" w:rsidRPr="004959B8" w:rsidRDefault="004959B8" w:rsidP="004959B8">
      <w:pPr>
        <w:rPr>
          <w:lang w:val="en-US"/>
        </w:rPr>
      </w:pPr>
      <w:r w:rsidRPr="004959B8">
        <w:rPr>
          <w:lang w:val="en-US"/>
        </w:rPr>
        <w:t xml:space="preserve">Brumann, C. (2015). </w:t>
      </w:r>
      <w:r w:rsidRPr="004959B8">
        <w:rPr>
          <w:i/>
          <w:iCs/>
          <w:lang w:val="en-US"/>
        </w:rPr>
        <w:t>Cultural Heritage - an overview | ScienceDirect Topics</w:t>
      </w:r>
      <w:r w:rsidRPr="004959B8">
        <w:rPr>
          <w:lang w:val="en-US"/>
        </w:rPr>
        <w:t xml:space="preserve">. [online] Sciencedirect.com. Available at: </w:t>
      </w:r>
      <w:hyperlink r:id="rId7" w:history="1">
        <w:r w:rsidRPr="004959B8">
          <w:rPr>
            <w:rStyle w:val="Hyperlink"/>
            <w:lang w:val="en-US"/>
          </w:rPr>
          <w:t>https://www.sciencedirect.com/topics/social-sciences/cultural-heritage</w:t>
        </w:r>
      </w:hyperlink>
      <w:r w:rsidRPr="004959B8">
        <w:rPr>
          <w:lang w:val="en-US"/>
        </w:rPr>
        <w:t>.</w:t>
      </w:r>
    </w:p>
    <w:p w14:paraId="67C324BF" w14:textId="77777777" w:rsidR="004959B8" w:rsidRPr="004959B8" w:rsidRDefault="004959B8" w:rsidP="004959B8">
      <w:pPr>
        <w:rPr>
          <w:lang w:val="en-US"/>
        </w:rPr>
      </w:pPr>
      <w:r w:rsidRPr="004959B8">
        <w:rPr>
          <w:lang w:val="en-US"/>
        </w:rPr>
        <w:t xml:space="preserve">Khaled </w:t>
      </w:r>
      <w:proofErr w:type="spellStart"/>
      <w:r w:rsidRPr="004959B8">
        <w:rPr>
          <w:lang w:val="en-US"/>
        </w:rPr>
        <w:t>Benfafa</w:t>
      </w:r>
      <w:proofErr w:type="spellEnd"/>
      <w:r w:rsidRPr="004959B8">
        <w:rPr>
          <w:lang w:val="en-US"/>
        </w:rPr>
        <w:t xml:space="preserve"> (2025). INTANGIBLE CULTURAL HERITAGE: CONCEPTUAL DILEMMAS BETWEEN THE IMMATERIAL AND THE CULTURAL. </w:t>
      </w:r>
      <w:r w:rsidRPr="004959B8">
        <w:rPr>
          <w:i/>
          <w:iCs/>
          <w:lang w:val="en-US"/>
        </w:rPr>
        <w:t>International Journal of Innovative Technologies in Social Science</w:t>
      </w:r>
      <w:r w:rsidRPr="004959B8">
        <w:rPr>
          <w:lang w:val="en-US"/>
        </w:rPr>
        <w:t xml:space="preserve">, (2(46)). </w:t>
      </w:r>
      <w:proofErr w:type="spellStart"/>
      <w:r w:rsidRPr="004959B8">
        <w:rPr>
          <w:lang w:val="en-US"/>
        </w:rPr>
        <w:t>doi:</w:t>
      </w:r>
      <w:hyperlink r:id="rId8" w:history="1">
        <w:r w:rsidRPr="004959B8">
          <w:rPr>
            <w:rStyle w:val="Hyperlink"/>
            <w:lang w:val="en-US"/>
          </w:rPr>
          <w:t>https</w:t>
        </w:r>
        <w:proofErr w:type="spellEnd"/>
        <w:r w:rsidRPr="004959B8">
          <w:rPr>
            <w:rStyle w:val="Hyperlink"/>
            <w:lang w:val="en-US"/>
          </w:rPr>
          <w:t>://doi.org/10.31435/ijitss.2(46).2025.3294</w:t>
        </w:r>
      </w:hyperlink>
      <w:r w:rsidRPr="004959B8">
        <w:rPr>
          <w:lang w:val="en-US"/>
        </w:rPr>
        <w:t>.</w:t>
      </w:r>
    </w:p>
    <w:p w14:paraId="44659F5C" w14:textId="77777777" w:rsidR="004959B8" w:rsidRPr="004959B8" w:rsidRDefault="004959B8" w:rsidP="004959B8">
      <w:pPr>
        <w:rPr>
          <w:lang w:val="en-US"/>
        </w:rPr>
      </w:pPr>
      <w:r w:rsidRPr="004959B8">
        <w:rPr>
          <w:lang w:val="en-US"/>
        </w:rPr>
        <w:t xml:space="preserve">Stoliarchuk, N., </w:t>
      </w:r>
      <w:proofErr w:type="spellStart"/>
      <w:r w:rsidRPr="004959B8">
        <w:rPr>
          <w:lang w:val="en-US"/>
        </w:rPr>
        <w:t>Pletsan</w:t>
      </w:r>
      <w:proofErr w:type="spellEnd"/>
      <w:r w:rsidRPr="004959B8">
        <w:rPr>
          <w:lang w:val="en-US"/>
        </w:rPr>
        <w:t xml:space="preserve">, K., </w:t>
      </w:r>
      <w:proofErr w:type="spellStart"/>
      <w:r w:rsidRPr="004959B8">
        <w:rPr>
          <w:lang w:val="en-US"/>
        </w:rPr>
        <w:t>Dovganych</w:t>
      </w:r>
      <w:proofErr w:type="spellEnd"/>
      <w:r w:rsidRPr="004959B8">
        <w:rPr>
          <w:lang w:val="en-US"/>
        </w:rPr>
        <w:t xml:space="preserve">, R., </w:t>
      </w:r>
      <w:proofErr w:type="spellStart"/>
      <w:r w:rsidRPr="004959B8">
        <w:rPr>
          <w:lang w:val="en-US"/>
        </w:rPr>
        <w:t>Opanashchuk</w:t>
      </w:r>
      <w:proofErr w:type="spellEnd"/>
      <w:r w:rsidRPr="004959B8">
        <w:rPr>
          <w:lang w:val="en-US"/>
        </w:rPr>
        <w:t xml:space="preserve">, P. and </w:t>
      </w:r>
      <w:proofErr w:type="spellStart"/>
      <w:r w:rsidRPr="004959B8">
        <w:rPr>
          <w:lang w:val="en-US"/>
        </w:rPr>
        <w:t>Bugrov</w:t>
      </w:r>
      <w:proofErr w:type="spellEnd"/>
      <w:r w:rsidRPr="004959B8">
        <w:rPr>
          <w:lang w:val="en-US"/>
        </w:rPr>
        <w:t xml:space="preserve">, M. (2025). </w:t>
      </w:r>
      <w:proofErr w:type="spellStart"/>
      <w:r w:rsidRPr="004959B8">
        <w:rPr>
          <w:i/>
          <w:iCs/>
          <w:lang w:val="en-US"/>
        </w:rPr>
        <w:t>Globalisation</w:t>
      </w:r>
      <w:proofErr w:type="spellEnd"/>
      <w:r w:rsidRPr="004959B8">
        <w:rPr>
          <w:i/>
          <w:iCs/>
          <w:lang w:val="en-US"/>
        </w:rPr>
        <w:t xml:space="preserve"> and Its Influence on Safeguarding National Cultural Heritage</w:t>
      </w:r>
      <w:r w:rsidRPr="004959B8">
        <w:rPr>
          <w:lang w:val="en-US"/>
        </w:rPr>
        <w:t xml:space="preserve">. [online] Ssrn.com. Available at: </w:t>
      </w:r>
      <w:hyperlink r:id="rId9" w:history="1">
        <w:r w:rsidRPr="004959B8">
          <w:rPr>
            <w:rStyle w:val="Hyperlink"/>
            <w:lang w:val="en-US"/>
          </w:rPr>
          <w:t>https://papers.ssrn.com/sol3/papers.cfm?abstract_id=5197030</w:t>
        </w:r>
      </w:hyperlink>
      <w:r w:rsidRPr="004959B8">
        <w:rPr>
          <w:lang w:val="en-US"/>
        </w:rPr>
        <w:t>.</w:t>
      </w:r>
    </w:p>
    <w:p w14:paraId="09158FAA" w14:textId="0E8B0D09" w:rsidR="002F23FB" w:rsidRDefault="002F23FB">
      <w:pPr>
        <w:spacing w:line="278" w:lineRule="auto"/>
        <w:jc w:val="left"/>
      </w:pPr>
      <w:r>
        <w:br w:type="page"/>
      </w:r>
    </w:p>
    <w:p w14:paraId="077FCC31" w14:textId="77777777" w:rsidR="00EB0EB7" w:rsidRDefault="00EB0EB7" w:rsidP="002F23FB"/>
    <w:sectPr w:rsidR="00EB0E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23234B"/>
    <w:multiLevelType w:val="hybridMultilevel"/>
    <w:tmpl w:val="BA8287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2508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EB7"/>
    <w:rsid w:val="000E3FF1"/>
    <w:rsid w:val="001B2FE9"/>
    <w:rsid w:val="00200408"/>
    <w:rsid w:val="002F23FB"/>
    <w:rsid w:val="004959B8"/>
    <w:rsid w:val="004E2E8A"/>
    <w:rsid w:val="00A67606"/>
    <w:rsid w:val="00EB0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D3CBC"/>
  <w15:chartTrackingRefBased/>
  <w15:docId w15:val="{D85BF40B-8A49-4EF3-AAAF-532FAE0B2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EB7"/>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EB0E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0E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0E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0E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0E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0E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0E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0E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0E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E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0E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0E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0E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0E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0E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0E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0E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0EB7"/>
    <w:rPr>
      <w:rFonts w:eastAsiaTheme="majorEastAsia" w:cstheme="majorBidi"/>
      <w:color w:val="272727" w:themeColor="text1" w:themeTint="D8"/>
    </w:rPr>
  </w:style>
  <w:style w:type="paragraph" w:styleId="Title">
    <w:name w:val="Title"/>
    <w:basedOn w:val="Normal"/>
    <w:next w:val="Normal"/>
    <w:link w:val="TitleChar"/>
    <w:uiPriority w:val="10"/>
    <w:qFormat/>
    <w:rsid w:val="00EB0E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0E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0E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0E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0EB7"/>
    <w:pPr>
      <w:spacing w:before="160"/>
      <w:jc w:val="center"/>
    </w:pPr>
    <w:rPr>
      <w:i/>
      <w:iCs/>
      <w:color w:val="404040" w:themeColor="text1" w:themeTint="BF"/>
    </w:rPr>
  </w:style>
  <w:style w:type="character" w:customStyle="1" w:styleId="QuoteChar">
    <w:name w:val="Quote Char"/>
    <w:basedOn w:val="DefaultParagraphFont"/>
    <w:link w:val="Quote"/>
    <w:uiPriority w:val="29"/>
    <w:rsid w:val="00EB0EB7"/>
    <w:rPr>
      <w:i/>
      <w:iCs/>
      <w:color w:val="404040" w:themeColor="text1" w:themeTint="BF"/>
    </w:rPr>
  </w:style>
  <w:style w:type="paragraph" w:styleId="ListParagraph">
    <w:name w:val="List Paragraph"/>
    <w:basedOn w:val="Normal"/>
    <w:uiPriority w:val="34"/>
    <w:qFormat/>
    <w:rsid w:val="00EB0EB7"/>
    <w:pPr>
      <w:ind w:left="720"/>
      <w:contextualSpacing/>
    </w:pPr>
  </w:style>
  <w:style w:type="character" w:styleId="IntenseEmphasis">
    <w:name w:val="Intense Emphasis"/>
    <w:basedOn w:val="DefaultParagraphFont"/>
    <w:uiPriority w:val="21"/>
    <w:qFormat/>
    <w:rsid w:val="00EB0EB7"/>
    <w:rPr>
      <w:i/>
      <w:iCs/>
      <w:color w:val="0F4761" w:themeColor="accent1" w:themeShade="BF"/>
    </w:rPr>
  </w:style>
  <w:style w:type="paragraph" w:styleId="IntenseQuote">
    <w:name w:val="Intense Quote"/>
    <w:basedOn w:val="Normal"/>
    <w:next w:val="Normal"/>
    <w:link w:val="IntenseQuoteChar"/>
    <w:uiPriority w:val="30"/>
    <w:qFormat/>
    <w:rsid w:val="00EB0E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0EB7"/>
    <w:rPr>
      <w:i/>
      <w:iCs/>
      <w:color w:val="0F4761" w:themeColor="accent1" w:themeShade="BF"/>
    </w:rPr>
  </w:style>
  <w:style w:type="character" w:styleId="IntenseReference">
    <w:name w:val="Intense Reference"/>
    <w:basedOn w:val="DefaultParagraphFont"/>
    <w:uiPriority w:val="32"/>
    <w:qFormat/>
    <w:rsid w:val="00EB0EB7"/>
    <w:rPr>
      <w:b/>
      <w:bCs/>
      <w:smallCaps/>
      <w:color w:val="0F4761" w:themeColor="accent1" w:themeShade="BF"/>
      <w:spacing w:val="5"/>
    </w:rPr>
  </w:style>
  <w:style w:type="table" w:styleId="TableGrid">
    <w:name w:val="Table Grid"/>
    <w:basedOn w:val="TableNormal"/>
    <w:uiPriority w:val="39"/>
    <w:rsid w:val="00EB0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EB0EB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styleId="Hyperlink">
    <w:name w:val="Hyperlink"/>
    <w:basedOn w:val="DefaultParagraphFont"/>
    <w:uiPriority w:val="99"/>
    <w:unhideWhenUsed/>
    <w:rsid w:val="004959B8"/>
    <w:rPr>
      <w:color w:val="467886" w:themeColor="hyperlink"/>
      <w:u w:val="single"/>
    </w:rPr>
  </w:style>
  <w:style w:type="character" w:styleId="UnresolvedMention">
    <w:name w:val="Unresolved Mention"/>
    <w:basedOn w:val="DefaultParagraphFont"/>
    <w:uiPriority w:val="99"/>
    <w:semiHidden/>
    <w:unhideWhenUsed/>
    <w:rsid w:val="004959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1435/ijitss.2(46).2025.3294" TargetMode="External"/><Relationship Id="rId3" Type="http://schemas.openxmlformats.org/officeDocument/2006/relationships/settings" Target="settings.xml"/><Relationship Id="rId7" Type="http://schemas.openxmlformats.org/officeDocument/2006/relationships/hyperlink" Target="https://www.sciencedirect.com/topics/social-sciences/cultural-herita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3390/buildings14072146"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apers.ssrn.com/sol3/papers.cfm?abstract_id=51970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684</Words>
  <Characters>3905</Characters>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2026-04-12T06:32:00Z</dcterms:created>
  <dcterms:modified xsi:type="dcterms:W3CDTF">2026-04-12T06:55:00Z</dcterms:modified>
</cp:coreProperties>
</file>