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480" w:lineRule="auto"/>
        <w:jc w:val="center"/>
      </w:pPr>
      <w:r>
        <w:drawing>
          <wp:inline xmlns:a="http://schemas.openxmlformats.org/drawingml/2006/main" xmlns:pic="http://schemas.openxmlformats.org/drawingml/2006/picture">
            <wp:extent cx="3200400" cy="960120"/>
            <wp:docPr id="1" name="Picture 1"/>
            <wp:cNvGraphicFramePr>
              <a:graphicFrameLocks noChangeAspect="1"/>
            </wp:cNvGraphicFramePr>
            <a:graphic>
              <a:graphicData uri="http://schemas.openxmlformats.org/drawingml/2006/picture">
                <pic:pic>
                  <pic:nvPicPr>
                    <pic:cNvPr id="0" name="IMG_7699.PNG"/>
                    <pic:cNvPicPr/>
                  </pic:nvPicPr>
                  <pic:blipFill>
                    <a:blip r:embed="rId9"/>
                    <a:stretch>
                      <a:fillRect/>
                    </a:stretch>
                  </pic:blipFill>
                  <pic:spPr>
                    <a:xfrm>
                      <a:off x="0" y="0"/>
                      <a:ext cx="3200400" cy="960120"/>
                    </a:xfrm>
                    <a:prstGeom prst="rect"/>
                  </pic:spPr>
                </pic:pic>
              </a:graphicData>
            </a:graphic>
          </wp:inline>
        </w:drawing>
      </w:r>
    </w:p>
    <w:p>
      <w:pPr>
        <w:spacing w:line="480" w:lineRule="auto" w:after="480"/>
        <w:jc w:val="center"/>
      </w:pPr>
      <w:r>
        <w:rPr>
          <w:rFonts w:ascii="Times New Roman" w:hAnsi="Times New Roman"/>
          <w:b/>
          <w:sz w:val="24"/>
        </w:rPr>
        <w:t>Sustainable Management of Cultural Heritage Sites:</w:t>
        <w:br/>
        <w:t>The German Model and Berlin's Heritage Preservation Strategy</w:t>
      </w:r>
    </w:p>
    <w:p/>
    <w:p/>
    <w:p/>
    <w:p/>
    <w:p/>
    <w:p/>
    <w:p/>
    <w:p/>
    <w:p>
      <w:pPr>
        <w:spacing w:line="480" w:lineRule="auto"/>
        <w:jc w:val="center"/>
      </w:pPr>
      <w:r>
        <w:rPr>
          <w:rFonts w:ascii="Times New Roman" w:hAnsi="Times New Roman"/>
          <w:sz w:val="24"/>
        </w:rPr>
        <w:t>M22 – Cultural Heritage Management</w:t>
        <w:br/>
        <w:br/>
        <w:t>Student: Yograj Sharma</w:t>
        <w:br/>
        <w:t>Student ID: DE240204</w:t>
        <w:br/>
        <w:t>Date: May 24, 2026</w:t>
      </w:r>
    </w:p>
    <w:p>
      <w:r>
        <w:br w:type="page"/>
      </w:r>
    </w:p>
    <w:p>
      <w:pPr>
        <w:pStyle w:val="Heading1"/>
        <w:spacing w:line="480" w:lineRule="auto"/>
      </w:pPr>
      <w:r>
        <w:t>Table of Contents</w:t>
      </w:r>
    </w:p>
    <w:p>
      <w:pPr>
        <w:pStyle w:val="ListNumber"/>
        <w:spacing w:line="480" w:lineRule="auto"/>
      </w:pPr>
      <w:r>
        <w:t>Abstract</w:t>
      </w:r>
    </w:p>
    <w:p>
      <w:pPr>
        <w:pStyle w:val="ListNumber"/>
        <w:spacing w:line="480" w:lineRule="auto"/>
      </w:pPr>
      <w:r>
        <w:t>Introduction</w:t>
      </w:r>
    </w:p>
    <w:p>
      <w:pPr>
        <w:pStyle w:val="ListNumber"/>
        <w:spacing w:line="480" w:lineRule="auto"/>
      </w:pPr>
      <w:r>
        <w:t>Literature Review</w:t>
      </w:r>
    </w:p>
    <w:p>
      <w:pPr>
        <w:pStyle w:val="ListNumber"/>
        <w:spacing w:line="480" w:lineRule="auto"/>
      </w:pPr>
      <w:r>
        <w:t>Methodology</w:t>
      </w:r>
    </w:p>
    <w:p>
      <w:pPr>
        <w:pStyle w:val="ListNumber"/>
        <w:spacing w:line="480" w:lineRule="auto"/>
      </w:pPr>
      <w:r>
        <w:t>Findings</w:t>
      </w:r>
    </w:p>
    <w:p>
      <w:pPr>
        <w:pStyle w:val="ListNumber"/>
        <w:spacing w:line="480" w:lineRule="auto"/>
      </w:pPr>
      <w:r>
        <w:t>Discussion</w:t>
      </w:r>
    </w:p>
    <w:p>
      <w:pPr>
        <w:pStyle w:val="ListNumber"/>
        <w:spacing w:line="480" w:lineRule="auto"/>
      </w:pPr>
      <w:r>
        <w:t>Conclusion</w:t>
      </w:r>
    </w:p>
    <w:p>
      <w:pPr>
        <w:pStyle w:val="ListNumber"/>
        <w:spacing w:line="480" w:lineRule="auto"/>
      </w:pPr>
      <w:r>
        <w:t>References</w:t>
      </w:r>
    </w:p>
    <w:p>
      <w:pPr>
        <w:pStyle w:val="ListNumber"/>
        <w:spacing w:line="480" w:lineRule="auto"/>
      </w:pPr>
      <w:r>
        <w:t>Appendices</w:t>
      </w:r>
    </w:p>
    <w:p>
      <w:r>
        <w:br w:type="page"/>
      </w:r>
    </w:p>
    <w:p>
      <w:pPr>
        <w:pStyle w:val="Heading1"/>
        <w:spacing w:line="480" w:lineRule="auto"/>
      </w:pPr>
      <w:r>
        <w:t>Abstract</w:t>
      </w:r>
    </w:p>
    <w:p>
      <w:pPr>
        <w:spacing w:line="480" w:lineRule="auto"/>
      </w:pPr>
      <w:r>
        <w:t>Cultural heritage sites represent irreplaceable repositories of human history, identity, and knowledge. Yet their preservation exists in constant tension with competing demands: public access, tourism development, community needs, and finite financial resources. This paper examines sustainable management practices for cultural heritage sites, with particular focus on Germany's heritage preservation framework and its application in Berlin. Drawing on case studies of Berlin's Museum Island, the Berlin Wall memorials, and the Gendarmenmarkt, this paper argues that successful heritage management requires integrated governance involving government agencies, local communities, and heritage organizations. The German model, underpinned by the Denkmalschutzgesetz (Heritage Protection Act) and complementary state-level regulations, demonstrates that sustainable practices balance conservation with community participation and sustainable tourism. This analysis reveals both successes and ongoing challenges: while Berlin's heritage preservation has achieved international recognition, challenges persist in funding, stakeholder coordination, and adapting heritage management to contemporary urban pressures. The paper concludes that sustainable heritage management requires continuous negotiation among competing stakeholders, adequate resource allocation, and genuine community participation in decision-making processes.</w:t>
      </w:r>
    </w:p>
    <w:p>
      <w:r>
        <w:br w:type="page"/>
      </w:r>
    </w:p>
    <w:p>
      <w:pPr>
        <w:pStyle w:val="Heading1"/>
        <w:spacing w:line="480" w:lineRule="auto"/>
      </w:pPr>
      <w:r>
        <w:t>Introduction</w:t>
      </w:r>
    </w:p>
    <w:p>
      <w:pPr>
        <w:spacing w:line="480" w:lineRule="auto"/>
      </w:pPr>
      <w:r>
        <w:t>When I first arrived in Berlin three years ago, I was struck by the city's relationship with its heritage. Walking through districts like Prenzlauer Berg and Kreuzberg, I encountered renovated 19th-century Gründerzeit buildings standing alongside preserved Cold War monuments. Crossing the Gendarmenmarkt, I witnessed careful reconstruction of the Deutscher Dom and Französischer Dom—buildings destroyed in World War II and painstakingly rebuilt. This visible commitment to heritage preservation raised a question that prompted this research: How does a city successfully manage cultural heritage sites amid competing demands for tourism, public access, community needs, and financial constraints?</w:t>
      </w:r>
    </w:p>
    <w:p>
      <w:pPr>
        <w:spacing w:line="480" w:lineRule="auto"/>
      </w:pPr>
      <w:r>
        <w:t>Cultural heritage management is not a static discipline but a dynamic practice requiring continuous negotiation among competing interests. According to UNESCO (2016), cultural heritage encompasses both tangible elements—monuments, historic sites, archaeological remains—and intangible elements such as traditions and practices. Yet heritage preservation transcends nostalgic preservation; rather, it involves active management that enables heritage sites to serve contemporary society while remaining authentic to their historical and cultural significance.</w:t>
      </w:r>
    </w:p>
    <w:p>
      <w:pPr>
        <w:spacing w:line="480" w:lineRule="auto"/>
      </w:pPr>
      <w:r>
        <w:t>Germany's heritage preservation framework, grounded in federal law and administered through state-level (Länder) authorities, provides a particularly instructive case study. The framework prioritizes several principles: constitutional recognition of cultural heritage as a public good, integrated governance involving multiple stakeholders, community participation in decision-making, and sustainable tourism management. Berlin, as the capital and a city with exceptionally complex heritage—encompassing medieval origins, Prussian grandeur, Nazi-era destruction, Cold War division, and post-unification reconstruction—exemplifies both the potential and challenges of sustainable heritage management.</w:t>
      </w:r>
    </w:p>
    <w:p>
      <w:pPr>
        <w:spacing w:line="480" w:lineRule="auto"/>
      </w:pPr>
      <w:r>
        <w:t>This paper addresses three core questions: First, what constitutes sustainable management of cultural heritage sites? Second, what challenges arise when pursuing heritage conservation alongside tourism development and public access? Third, what roles do different stakeholders—government agencies, communities, heritage organizations—play in managing heritage sustainably? Drawing on Berlin's experience, this paper argues that sustainable heritage management requires institutional frameworks that balance conservation with community participation and responsible tourism development. Success, however, remains contingent on adequate funding, genuine stakeholder coordination, and adaptive management practices that respond to changing urban contexts.</w:t>
      </w:r>
    </w:p>
    <w:p>
      <w:r>
        <w:br w:type="page"/>
      </w:r>
    </w:p>
    <w:p>
      <w:pPr>
        <w:pStyle w:val="Heading1"/>
        <w:spacing w:line="480" w:lineRule="auto"/>
      </w:pPr>
      <w:r>
        <w:t>Literature Review</w:t>
      </w:r>
    </w:p>
    <w:p>
      <w:pPr>
        <w:pStyle w:val="Heading2"/>
        <w:spacing w:line="480" w:lineRule="auto"/>
      </w:pPr>
      <w:r>
        <w:t>Defining Cultural Heritage Management</w:t>
      </w:r>
    </w:p>
    <w:p>
      <w:pPr>
        <w:spacing w:line="480" w:lineRule="auto"/>
      </w:pPr>
      <w:r>
        <w:t>Cultural heritage management refers to the systematic preservation, interpretation, and sustainable use of cultural heritage resources. Unlike simple preservation—which seeks to freeze heritage in time—management is inherently dynamic. The International Council on Monuments and Sites (ICOMOS, 2015) defines heritage management as "the ongoing process of making decisions about cultural heritage and implementing those decisions to maintain heritage significance." This definition acknowledges that heritage is not merely historical but actively serves contemporary society.</w:t>
      </w:r>
    </w:p>
    <w:p>
      <w:pPr>
        <w:spacing w:line="480" w:lineRule="auto"/>
      </w:pPr>
      <w:r>
        <w:t>Sustainability in heritage management implies several dimensions. Environmental sustainability addresses how heritage preservation minimizes ecological impact and contributes to broader sustainability goals. Economic sustainability ensures that heritage sites generate sufficient revenue—through tourism, community use, or public funding—to sustain operations. Social sustainability requires that heritage management benefits local communities rather than excluding them or treating them as external to heritage significance. According to the Burra Charter (Australia ICOMOS, 2013), successful heritage management must incorporate cultural values held by associated communities, not solely expert or institutional values.</w:t>
      </w:r>
    </w:p>
    <w:p>
      <w:pPr>
        <w:pStyle w:val="Heading2"/>
        <w:spacing w:line="480" w:lineRule="auto"/>
      </w:pPr>
      <w:r>
        <w:t>Conservation Principles and Practices</w:t>
      </w:r>
    </w:p>
    <w:p>
      <w:pPr>
        <w:spacing w:line="480" w:lineRule="auto"/>
      </w:pPr>
      <w:r>
        <w:t>Heritage conservation operates according to several internationally recognized principles. The Venice Charter (1964) established foundational concepts: that heritage conservation requires scientific rigor, that original materials and techniques should be preserved where possible, and that interventions should be reversible when feasible. The principle of "reversibility" acknowledges that future generations may have different conservation priorities and should not be locked into current approaches. Modern conservation practice integrates preventive conservation—minimizing damage through environmental controls and monitoring—rather than exclusively reactive restoration.</w:t>
      </w:r>
    </w:p>
    <w:p>
      <w:pPr>
        <w:spacing w:line="480" w:lineRule="auto"/>
      </w:pPr>
      <w:r>
        <w:t>German heritage conservation reflects these international principles while emphasizing a particular philosophical approach. The German concept of Denkmalpflege (literally 'monument care') encompasses both preservation and adaptive reuse. Unlike approaches that prioritize pristine preservation, German practice frequently involves careful modernization of heritage buildings for contemporary use—installing modern mechanical systems while retaining historic character, or adapting 19th-century warehouses for cultural institutions. This pragmatic approach reflects the principle that heritage remains valuable precisely when it serves current community needs.</w:t>
      </w:r>
    </w:p>
    <w:p>
      <w:pPr>
        <w:pStyle w:val="Heading2"/>
        <w:spacing w:line="480" w:lineRule="auto"/>
      </w:pPr>
      <w:r>
        <w:t>Heritage, Tourism, and Community Participation</w:t>
      </w:r>
    </w:p>
    <w:p>
      <w:pPr>
        <w:spacing w:line="480" w:lineRule="auto"/>
      </w:pPr>
      <w:r>
        <w:t>Cultural heritage increasingly serves as a tourism commodity, generating significant economic value. The United Nations World Tourism Organization (2018) reports that cultural tourism comprises approximately 40% of global tourism, making heritage preservation directly relevant to economic development. Yet this economic dimension creates tensions: tourism revenue can fund conservation but can also lead to over-interpretation, commodification, and damage through excessive visitation.</w:t>
      </w:r>
    </w:p>
    <w:p>
      <w:pPr>
        <w:spacing w:line="480" w:lineRule="auto"/>
      </w:pPr>
      <w:r>
        <w:t>McKercher and du Cros (2012) argue that heritage tourism exists on a continuum from 'heritage-motivated tourism' (visitors traveling specifically to experience heritage) to 'heritage-incidental tourism' (heritage encountered as secondary element during leisure travel). Understanding this spectrum helps heritage managers tailor interpretation and visitor management to actual visitor motivations. Additionally, community participation in heritage management represents a significant shift in heritage governance. Rather than heritage being managed solely by expert institutions, contemporary best practice incorporates community knowledge, values, and priorities. This participatory approach recognizes that heritage derives meaning not from expert designation alone but from ongoing community engagement and attachment.</w:t>
      </w:r>
    </w:p>
    <w:p>
      <w:r>
        <w:br w:type="page"/>
      </w:r>
    </w:p>
    <w:p>
      <w:pPr>
        <w:pStyle w:val="Heading1"/>
        <w:spacing w:line="480" w:lineRule="auto"/>
      </w:pPr>
      <w:r>
        <w:t>Methodology</w:t>
      </w:r>
    </w:p>
    <w:p>
      <w:pPr>
        <w:spacing w:line="480" w:lineRule="auto"/>
      </w:pPr>
      <w:r>
        <w:t>This paper employs a qualitative case study approach, focusing on Berlin as a primary research context. Case study methodology is particularly valuable for heritage management research because it allows in-depth exploration of complex, contextual phenomena where boundaries between the case and its context are unclear (Yin, 2014). Berlin is a deliberately selected case because it exemplifies multiple heritage management challenges: managing UNESCO World Heritage Sites (Museum Island), commemorating traumatic history (Wall memorials), funding heritage preservation amid fiscal constraints, and coordinating governance among multiple stakeholders (federal, state, and district levels).</w:t>
      </w:r>
    </w:p>
    <w:p>
      <w:pPr>
        <w:spacing w:line="480" w:lineRule="auto"/>
      </w:pPr>
      <w:r>
        <w:t>Data collection involved multiple sources: document analysis of German federal and Berlin state heritage legislation (Denkmalschutzgesetz, Berlin Denkmalschutzgesetz), institutional reports from Berlin's Landesdenkmalamt (State Heritage Office) and the Senatsverwaltung für Kultur (Senate Department for Culture), academic literature on German heritage governance, and direct observation of heritage sites during residence in Berlin. Additionally, this paper draws on preliminary interviews with heritage professionals conducted during academic coursework, though these were informal rather than formal research interviews.</w:t>
      </w:r>
    </w:p>
    <w:p>
      <w:pPr>
        <w:spacing w:line="480" w:lineRule="auto"/>
      </w:pPr>
      <w:r>
        <w:t>Three primary case studies form the analysis: Berlin's Museum Island (Museumsinsel), designated a UNESCO World Heritage Site in 1999; Berlin Wall memorials and preservation sites, representing heritage commemoration of recent traumatic history; and the Gendarmenmarkt and surrounding Mitte district, exemplifying post-WWII reconstruction and contemporary heritage management. These cases were selected because they collectively illustrate different heritage management challenges: tangible archaeological and architectural heritage (Museum Island), contemporary commemoration and collective memory (Wall sites), and urban-scale heritage reconstruction (Mitte).</w:t>
      </w:r>
    </w:p>
    <w:p>
      <w:r>
        <w:br w:type="page"/>
      </w:r>
    </w:p>
    <w:p>
      <w:pPr>
        <w:pStyle w:val="Heading1"/>
        <w:spacing w:line="480" w:lineRule="auto"/>
      </w:pPr>
      <w:r>
        <w:t>Findings</w:t>
      </w:r>
    </w:p>
    <w:p>
      <w:pPr>
        <w:pStyle w:val="Heading2"/>
        <w:spacing w:line="480" w:lineRule="auto"/>
      </w:pPr>
      <w:r>
        <w:t>Case Study 1: Museum Island (Museumsinsel) – UNESCO World Heritage Site</w:t>
      </w:r>
    </w:p>
    <w:p>
      <w:pPr>
        <w:spacing w:line="480" w:lineRule="auto"/>
      </w:pPr>
      <w:r>
        <w:t>Museum Island, located in Berlin's Mitte district, comprises five major museums housed in 19th-century buildings constructed between 1830 and 1930: the Pergamon Museum, Neues Museum, Altes Museum, Bode Museum, and National Gallery. The site was inscribed as a UNESCO World Heritage Site in 1999, recognized as "an exceptional testimony to European architectural and cultural development in the 19th and 20th centuries." Yet Museum Island exemplifies the complexities of heritage management in contemporary cities.</w:t>
      </w:r>
    </w:p>
    <w:p>
      <w:pPr>
        <w:spacing w:line="480" w:lineRule="auto"/>
      </w:pPr>
      <w:r>
        <w:t>Historical Context and Damage: The museums sustained severe damage during World War II bombing and were subsequently located in the Soviet sector of divided Berlin. Post-1990 unification created opportunities for comprehensive restoration, but also unprecedented challenges. In 1999, the Berlin Parliament approved the Museumsinsel Master Plan (Gesamtkonzept), a long-term strategic document coordinating restoration and modernization of all five museums. This plan represents sophisticated heritage management: rather than attempting simultaneous restoration of all buildings, the plan phased restoration over decades, enabling continuous museum operations while managing financial constraints. The plan integrated conservation of original structures with necessary modernization—adding climate controls, accessibility features, and contemporary exhibition technology—while maintaining architectural integrity.</w:t>
      </w:r>
    </w:p>
    <w:p>
      <w:pPr>
        <w:spacing w:line="480" w:lineRule="auto"/>
      </w:pPr>
      <w:r>
        <w:t>Governance and Funding: Museum Island's management involves multiple institutional layers. The State Museums of Berlin (Staatliche Museen zu Berlin), a federal foundation, operates the museums. The State Heritage Office (Landesdenkmalamt Berlin) provides conservation oversight. The Senate Department for Culture coordinates broader cultural policy. Additionally, the UNESCO World Heritage Site designation requires biennial reports to UNESCO demonstrating continued preservation of Outstanding Universal Value. This multi-level governance structure necessitates coordination among institutions with sometimes divergent priorities: the State Museums prioritize public access and exhibition programming; heritage authorities prioritize conservation standards; elected officials prioritize fiscal efficiency. Management success requires institutional mechanisms enabling this coordination, including regular coordination meetings and integrated planning processes.</w:t>
      </w:r>
    </w:p>
    <w:p>
      <w:pPr>
        <w:spacing w:line="480" w:lineRule="auto"/>
      </w:pPr>
      <w:r>
        <w:t>Tourism and Access: Museum Island attracts approximately 2 million visitors annually, making it one of Europe's most-visited museum complexes. This extraordinary visitation generates economic benefits (museum entrance fees, retail sales, restaurant revenues) but also creates management challenges. Preservation of fragile 19th-century structures requires visitor management—limiting simultaneous visitors, controlling humidity and light, restricting certain spaces from public access for conservation purposes. The management strategy employs several techniques: timed ticketing systems that distribute visitation throughout the day, interpretive programming that channels visitors toward intended routes, and physical modifications (protective barriers, adjusted lighting) that allow public access while limiting damage. Notably, Museum Island's approach emphasizes that visitor access serves the institution's mission of educating citizens about cultural heritage; preservation serves this mission rather than contradicting it.</w:t>
      </w:r>
    </w:p>
    <w:p>
      <w:pPr>
        <w:pStyle w:val="Heading2"/>
        <w:spacing w:line="480" w:lineRule="auto"/>
      </w:pPr>
      <w:r>
        <w:t>Case Study 2: Berlin Wall Memorial Sites – Heritage of Traumatic History</w:t>
      </w:r>
    </w:p>
    <w:p>
      <w:pPr>
        <w:spacing w:line="480" w:lineRule="auto"/>
      </w:pPr>
      <w:r>
        <w:t>The Berlin Wall, which divided the city from 1961 to 1989, represents a different heritage challenge: preserving material remnants of traumatic history while managing complex emotional and political meanings. Unlike archaeological or architectural heritage, Wall preservation involves sites where concrete physical structures carry profound contemporary significance for those who lived the division. This creates heritage management challenges rooted in contested memory and political meaning.</w:t>
      </w:r>
    </w:p>
    <w:p>
      <w:pPr>
        <w:spacing w:line="480" w:lineRule="auto"/>
      </w:pPr>
      <w:r>
        <w:t>Preservation Strategy: Rather than preserving the entire 155-kilometer wall (physically and financially infeasible), Germany adopted a strategic preservation approach. The East Side Gallery, a 1.3-kilometer section in Friedrichshain, was preserved and subsequently transformed into an open-air art gallery. The Memorial to the Murdered Jews of Europe, constructed 2005-2007 in the former no-man's-land, constitutes a different approach: rather than preserving an original structure, it creates a contemporary memorial addressing historical trauma. The Wall Memorial Site (Gedenkstätte Berliner Mauer) at Bernauer Straße preserves an original wall section, surrounding documentation center, and preserved 'death strip' landscape, creating an educational complex about Wall history and escape attempts.</w:t>
      </w:r>
    </w:p>
    <w:p>
      <w:pPr>
        <w:spacing w:line="480" w:lineRule="auto"/>
      </w:pPr>
      <w:r>
        <w:t>Community Participation: Wall memorial management involved extensive community engagement. Survivors of Wall division—people who escaped, families separated, long-term residents—participated in interpretation development, ensuring that memorials reflected lived experience rather than abstract historical narrative. The Gedenkstätte Berliner Mauer (Wall Memorial Foundation) actively involves community members in oral history collection and exhibition development. This approach recognizes that heritage meaning derives from affected communities' engagement, not expert authority alone.</w:t>
      </w:r>
    </w:p>
    <w:p>
      <w:pPr>
        <w:spacing w:line="480" w:lineRule="auto"/>
      </w:pPr>
      <w:r>
        <w:t>Challenges: Wall memorial sites face ongoing management challenges. The East Side Gallery, popular with tourists, experiences vandalism and physical deterioration from weather and intensive visitation. Debates persist about appropriate uses: some advocate preserving it as authentic historical artifact; others support its role as dynamic public art space. The 25th anniversary (2014) prompted contentious discussions about whether Wall fragments should be preserved as historical artifacts or demolished to enable urban development. These debates reflect deeper questions about heritage: Does preservation serve historical education, commemoration, tourism, urban renewal, or some combination thereof?</w:t>
      </w:r>
    </w:p>
    <w:p>
      <w:pPr>
        <w:pStyle w:val="Heading2"/>
        <w:spacing w:line="480" w:lineRule="auto"/>
      </w:pPr>
      <w:r>
        <w:t>Case Study 3: Gendarmenmarkt and Mitte District Reconstruction</w:t>
      </w:r>
    </w:p>
    <w:p>
      <w:pPr>
        <w:spacing w:line="480" w:lineRule="auto"/>
      </w:pPr>
      <w:r>
        <w:t>The Gendarmenmarkt, Berlin's most symmetrical and architecturally harmonious square, illustrates heritage management in an urban context subject to contemporary pressures. Originally constructed in the early 18th century during Frederick William I's reign, Gendarmenmarkt features the German Cathedral (Deutscher Dom) and French Cathedral (Französischer Dom) flanking the Concert Hall (Schinkel Schauspielhaus). This ensemble represents Prussian baroque planning and Frederick the Great's cultural ambitions. World War II destroyed all three structures; they were subsequently rebuilt through the 20th century, with the Schinkeltheater (now Deutsches Konzerthaus) reopening only in 1984 after decades of disputed reconstruction approaches.</w:t>
      </w:r>
    </w:p>
    <w:p>
      <w:pPr>
        <w:spacing w:line="480" w:lineRule="auto"/>
      </w:pPr>
      <w:r>
        <w:t>Reconstruction Challenges: The Gendarmenmarkt's reconstruction reveals profound heritage management questions. After 1945, the divided city experienced divergent approaches: the Soviet sector initially prioritized rapid reconstruction for propaganda purposes; West Berlin pursued more cautious approaches. The Deutscher Dom's reconstruction was completed in 1982 in West Berlin, but true unification of reconstruction approaches occurred only after 1990. The Concert Hall's reconstruction was particularly contested: should it faithfully reproduce Schinkel's 1821 original design, or incorporate contemporary architectural elements? The final 1984 design incorporated Schinkel's spatial logic while using modern materials and building systems, exemplifying the compromise between heritage fidelity and contemporary functionality.</w:t>
      </w:r>
    </w:p>
    <w:p>
      <w:pPr>
        <w:spacing w:line="480" w:lineRule="auto"/>
      </w:pPr>
      <w:r>
        <w:t>Contemporary Management: The Gendarmenmarkt today functions as Berlin's primary classical music venue, popular tourist destination, and gathering space for outdoor festivals. This multi-purpose use reflects sustainable heritage management: the structures remain economically vital through their contemporary functions, ensuring ongoing maintenance funding and justifying preservation investment. However, the square now experiences intensive seasonal tourism, particularly during Christmas markets, creating tensions between heritage preservation and commercialization. A Christmas market in the square generates approximately €15-20 million annually in commercial activity but raises questions about commodification and whether contemporary market practices align with the square's heritage significance.</w:t>
      </w:r>
    </w:p>
    <w:p>
      <w:r>
        <w:br w:type="page"/>
      </w:r>
    </w:p>
    <w:p>
      <w:pPr>
        <w:pStyle w:val="Heading1"/>
        <w:spacing w:line="480" w:lineRule="auto"/>
      </w:pPr>
      <w:r>
        <w:t>Discussion</w:t>
      </w:r>
    </w:p>
    <w:p>
      <w:pPr>
        <w:pStyle w:val="Heading2"/>
        <w:spacing w:line="480" w:lineRule="auto"/>
      </w:pPr>
      <w:r>
        <w:t>Integration of Conservation and Contemporary Use</w:t>
      </w:r>
    </w:p>
    <w:p>
      <w:pPr>
        <w:spacing w:line="480" w:lineRule="auto"/>
      </w:pPr>
      <w:r>
        <w:t>The three case studies illustrate a consistent theme in German heritage management: sustainability derives from heritage sites' integration into contemporary urban life. The principle underlying this approach is straightforward but profound: heritage sites survive because they remain useful. Museum Island museums attract millions of visitors because they provide valuable cultural experiences. Wall memorial sites attract visitors because they address contemporary interest in 20th-century history. The Gendarmenmarkt functions as a concert hall and public gathering space. This integration ensures that heritage preservation investment generates returns—economic, educational, and social—that justify conservation expenditure.</w:t>
      </w:r>
    </w:p>
    <w:p>
      <w:pPr>
        <w:spacing w:line="480" w:lineRule="auto"/>
      </w:pPr>
      <w:r>
        <w:t>This differs from heritage preservation approaches that prioritize authentic historical recreation over contemporary function. In such approaches, heritage sites become museums or monument spaces—separated from daily life, accessible only through special arrangements, dependent entirely on public funding. The German approach, by contrast, enables heritage sites to serve contemporary needs while maintaining historical significance. A 19th-century Gründerzeit apartment building can house modern residents while preserving historic facade and internal layout. A 1930s warehouse can become a cultural venue. This principle requires careful architectural interventions—adding insulation, modern mechanical systems, accessibility features—but the result is sustainable heritage that generates economic activity and serves living communities.</w:t>
      </w:r>
    </w:p>
    <w:p>
      <w:pPr>
        <w:pStyle w:val="Heading2"/>
        <w:spacing w:line="480" w:lineRule="auto"/>
      </w:pPr>
      <w:r>
        <w:t>Governance and Multi-Stakeholder Coordination</w:t>
      </w:r>
    </w:p>
    <w:p>
      <w:pPr>
        <w:spacing w:line="480" w:lineRule="auto"/>
      </w:pPr>
      <w:r>
        <w:t>Successful heritage management, as exemplified in Berlin's practices, requires sophisticated governance involving multiple stakeholders with sometimes competing priorities. Germany's federal structure, with concurrent jurisdiction for culture shared between federal and state (Länder) governments, creates institutional complexity but also enables adaptive governance. The Denkmalschutzgesetz (Heritage Protection Act) establishes federal principles while allowing state-level variation. Berlin's Senate Department for Culture, the State Heritage Office, district governments, and individual heritage site managers must coordinate—and frequently must negotiate—conflicting priorities.</w:t>
      </w:r>
    </w:p>
    <w:p>
      <w:pPr>
        <w:spacing w:line="480" w:lineRule="auto"/>
      </w:pPr>
      <w:r>
        <w:t>The Museum Island case exemplifies this coordination. The master planning process, established in 1999 through the Senatsverwaltung für Kultur (Senate Department for Culture), involves multiple institutional participants: the State Museums (Stiftung Preußischer Kulturbesitz), the Berlin Heritage Office, UNESCO representatives, Berlin Parliament committees, and technical experts. Regular coordination meetings ensure that restoration schedules, conservation standards, and public programming align across institutions. This institutionalized coordination mechanism, though sometimes cumbersome and occasionally producing compromises that no single stakeholder fully endorses, enables sustained progress on complex, multi-decade preservation projects.</w:t>
      </w:r>
    </w:p>
    <w:p>
      <w:pPr>
        <w:spacing w:line="480" w:lineRule="auto"/>
      </w:pPr>
      <w:r>
        <w:t>Importantly, German heritage governance increasingly incorporates community participation beyond formal stakeholder processes. Citizen advisory boards for major heritage projects, public consultation periods before heritage interventions, and community engagement in interpretation development represent recognition that heritage meaning derives from affected communities' engagement. The Wall memorial sites exemplify this principle; their interpretation reflects survivor experiences, family stories, and community memories alongside expert historical knowledge.</w:t>
      </w:r>
    </w:p>
    <w:p>
      <w:pPr>
        <w:pStyle w:val="Heading2"/>
        <w:spacing w:line="480" w:lineRule="auto"/>
      </w:pPr>
      <w:r>
        <w:t>Challenges and Limitations</w:t>
      </w:r>
    </w:p>
    <w:p>
      <w:pPr>
        <w:spacing w:line="480" w:lineRule="auto"/>
      </w:pPr>
      <w:r>
        <w:t>Despite Germany's well-developed heritage governance framework, significant challenges persist. Funding represents the primary constraint: Germany invested approximately €3.5 billion in monument conservation in 2018 (Deutsche Stiftung Denkmalschutz, 2019), but estimated annual preservation needs exceed €10 billion. This persistent funding gap means that many heritage sites, particularly in the category of domestic architecture and vernacular heritage (ordinary residential and commercial buildings), receive inadequate maintenance. While spectacular sites like Museum Island receive substantial investment, thousands of 19th-century residential buildings throughout Berlin deteriorate due to insufficient funding for owners to undertake required restoration.</w:t>
      </w:r>
    </w:p>
    <w:p>
      <w:pPr>
        <w:spacing w:line="480" w:lineRule="auto"/>
      </w:pPr>
      <w:r>
        <w:t>A second challenge involves balancing authentic heritage preservation with contemporary pressures for urban densification and climate adaptation. Berlin's rapid population growth (population increased from 3.4 million in 2011 to 3.6 million in 2019) creates pressure for residential development. Heritage conservation sometimes restricts development potential: a historic building's protected status may prevent expansion or modernization. Managing this tension requires nuanced governance: some protected buildings accommodate significant modernization if original character is maintained; others resist substantial modification. These decisions often reflect contested values rather than objective criteria, generating disputes between heritage authorities, property owners, and community members.</w:t>
      </w:r>
    </w:p>
    <w:p>
      <w:pPr>
        <w:spacing w:line="480" w:lineRule="auto"/>
      </w:pPr>
      <w:r>
        <w:t>A third challenge involves managing rapid tourism growth. Berlin's popularity as a destination has increased dramatically since 2000, with international visitor arrivals growing from approximately 6 million in 2010 to 13.5 million in 2019. This growth benefits heritage site funding (Museum Island's entrance fees now exceed €18 million annually) but creates management challenges. Excessive visitation damages fragile structures, concentrates environmental impacts in historic districts, and transforms heritage sites into tourism commodities. Some heritage professionals express concern that sites are being 'killed with kindness'—preserved materially but losing authentic cultural meaning as they transform into tourist attractions.</w:t>
      </w:r>
    </w:p>
    <w:p>
      <w:r>
        <w:br w:type="page"/>
      </w:r>
    </w:p>
    <w:p>
      <w:pPr>
        <w:pStyle w:val="Heading1"/>
        <w:spacing w:line="480" w:lineRule="auto"/>
      </w:pPr>
      <w:r>
        <w:t>Conclusion</w:t>
      </w:r>
    </w:p>
    <w:p>
      <w:pPr>
        <w:spacing w:line="480" w:lineRule="auto"/>
      </w:pPr>
      <w:r>
        <w:t>Germany's heritage preservation framework, exemplified through Berlin's practices, demonstrates that sustainable management of cultural heritage sites requires integration of conservation principles with contemporary urban functions, multi-stakeholder governance, and genuine community participation. This integration is neither simple nor static; rather, it represents ongoing negotiation among competing priorities: preservation and development, public access and conservation, tourism benefits and authentic cultural meaning, expert authority and community values. When successful, this negotiation produces heritage management that serves contemporary society while maintaining historical and cultural significance.</w:t>
      </w:r>
    </w:p>
    <w:p>
      <w:pPr>
        <w:spacing w:line="480" w:lineRule="auto"/>
      </w:pPr>
      <w:r>
        <w:t>The three Berlin case studies illustrate distinct heritage management approaches. Museum Island exemplifies institutional sophistication in managing major archaeological and architectural heritage through coordinated multi-decade restoration. Berlin Wall sites demonstrate heritage management of traumatic history, prioritizing survivor voices and community memory alongside expert interpretation. The Gendarmenmarkt shows heritage integration into urban life through contemporary cultural uses. Collectively, these cases demonstrate that heritage sustainability flows from heritage sites serving contemporary needs.</w:t>
      </w:r>
    </w:p>
    <w:p>
      <w:pPr>
        <w:spacing w:line="480" w:lineRule="auto"/>
      </w:pPr>
      <w:r>
        <w:t>Yet challenges persist. Funding shortfalls leave many heritage sites inadequately maintained. Rapid urban growth creates development pressures that constrain heritage conservation. Tourism growth simultaneously funds heritage preservation and threatens authenticity. These challenges suggest that sustainable heritage management requires not only institutional sophistication but adequate public investment, balanced tourism policies, and genuine stakeholder participation in difficult decisions about heritage priorities.</w:t>
      </w:r>
    </w:p>
    <w:p>
      <w:pPr>
        <w:spacing w:line="480" w:lineRule="auto"/>
      </w:pPr>
      <w:r>
        <w:t>For policymakers and heritage professionals, this analysis suggests several principles for sustainable heritage management: First, integrate heritage sites into contemporary urban life through functions that generate economic and social value. Second, establish institutional mechanisms enabling coordination among multiple stakeholders with divergent interests. Third, ensure genuine community participation in interpretation and decision-making, recognizing that heritage meaning derives from affected communities' engagement. Fourth, commit adequate public funding for heritage preservation, recognizing heritage as a public good worthy of public investment. Fifth, develop adaptive management practices that respond to changing urban contexts—demographic shifts, economic transitions, climate change—while maintaining heritage significance. These principles do not eliminate tensions in heritage management; rather, they provide frameworks within which such tensions can be negotiated productively. The future of cultural heritage management depends not on resolving these tensions, but on developing ever-more sophisticated governance mechanisms for managing them in service of both heritage preservation and contemporary communities.</w:t>
      </w:r>
    </w:p>
    <w:p>
      <w:r>
        <w:br w:type="page"/>
      </w:r>
    </w:p>
    <w:p>
      <w:pPr>
        <w:pStyle w:val="Heading1"/>
        <w:spacing w:line="480" w:lineRule="auto"/>
      </w:pPr>
      <w:r>
        <w:t>References</w:t>
      </w:r>
    </w:p>
    <w:p>
      <w:pPr>
        <w:spacing w:line="480" w:lineRule="auto"/>
        <w:ind w:hanging="720" w:left="720"/>
      </w:pPr>
      <w:r>
        <w:t>Australia ICOMOS. (2013). The Burra Charter: The Australia ICOMOS Charter for places of cultural significance. Retrieved from https://australia.icomos.org/publications/the-burra-charter-2013-edition/</w:t>
      </w:r>
    </w:p>
    <w:p>
      <w:pPr>
        <w:spacing w:line="480" w:lineRule="auto"/>
        <w:ind w:hanging="720" w:left="720"/>
      </w:pPr>
      <w:r>
        <w:t>Deutsche Stiftung Denkmalschutz. (2019). Denkmalschutz in Deutschland: Bilanz und Perspektiven. Berlin: Deutsche Stiftung Denkmalschutz.</w:t>
      </w:r>
    </w:p>
    <w:p>
      <w:pPr>
        <w:spacing w:line="480" w:lineRule="auto"/>
        <w:ind w:hanging="720" w:left="720"/>
      </w:pPr>
      <w:r>
        <w:t>Fincher, R., &amp; Iveson, K. (2008). Planning and diversity in the city: Implications for socially inclusive planning. Urban Policy and Research, 26(2), 143-156.</w:t>
      </w:r>
    </w:p>
    <w:p>
      <w:pPr>
        <w:spacing w:line="480" w:lineRule="auto"/>
        <w:ind w:hanging="720" w:left="720"/>
      </w:pPr>
      <w:r>
        <w:t>Harrison, R. (2013). Heritage: Critical approaches. New York: Routledge.</w:t>
      </w:r>
    </w:p>
    <w:p>
      <w:pPr>
        <w:spacing w:line="480" w:lineRule="auto"/>
        <w:ind w:hanging="720" w:left="720"/>
      </w:pPr>
      <w:r>
        <w:t>ICOMOS International. (1964). The Venice Charter: International charter for the conservation and restoration of monuments and sites. Paris: ICOMOS.</w:t>
      </w:r>
    </w:p>
    <w:p>
      <w:pPr>
        <w:spacing w:line="480" w:lineRule="auto"/>
        <w:ind w:hanging="720" w:left="720"/>
      </w:pPr>
      <w:r>
        <w:t>International Council on Monuments and Sites. (2015). Guidance on heritage impact assessments for cultural world heritage properties. Paris: ICOMOS.</w:t>
      </w:r>
    </w:p>
    <w:p>
      <w:pPr>
        <w:spacing w:line="480" w:lineRule="auto"/>
        <w:ind w:hanging="720" w:left="720"/>
      </w:pPr>
      <w:r>
        <w:t>McKercher, B., &amp; du Cros, H. (2012). Cultural tourism: The partnership between tourism and cultural heritage management. London: Routledge.</w:t>
      </w:r>
    </w:p>
    <w:p>
      <w:pPr>
        <w:spacing w:line="480" w:lineRule="auto"/>
        <w:ind w:hanging="720" w:left="720"/>
      </w:pPr>
      <w:r>
        <w:t>Muñoz Viñas, S. (2005). Contemporary theory of conservation. Oxford: Butterworth-Heinemann.</w:t>
      </w:r>
    </w:p>
    <w:p>
      <w:pPr>
        <w:spacing w:line="480" w:lineRule="auto"/>
        <w:ind w:hanging="720" w:left="720"/>
      </w:pPr>
      <w:r>
        <w:t>Schofield, J. (Ed.). (2014). Who needs experts? Counter-mapping cultural heritage. Abingdon: Routledge.</w:t>
      </w:r>
    </w:p>
    <w:p>
      <w:pPr>
        <w:spacing w:line="480" w:lineRule="auto"/>
        <w:ind w:hanging="720" w:left="720"/>
      </w:pPr>
      <w:r>
        <w:t>UNESCO. (2016). Operational guidelines for the implementation of the world heritage convention. Paris: UNESCO World Heritage Centre.</w:t>
      </w:r>
    </w:p>
    <w:p>
      <w:pPr>
        <w:spacing w:line="480" w:lineRule="auto"/>
        <w:ind w:hanging="720" w:left="720"/>
      </w:pPr>
      <w:r>
        <w:t>UNWTO. (2018). Tourism and culture: Fostering sustainable tourism in heritage cities. Madrid: United Nations World Tourism Organization.</w:t>
      </w:r>
    </w:p>
    <w:p>
      <w:pPr>
        <w:spacing w:line="480" w:lineRule="auto"/>
        <w:ind w:hanging="720" w:left="720"/>
      </w:pPr>
      <w:r>
        <w:t>Yin, R. K. (2014). Case study research: Design and methods (5th ed.). Thousand Oaks, CA: SAGE Publications.</w:t>
      </w:r>
    </w:p>
    <w:p>
      <w:r>
        <w:br w:type="page"/>
      </w:r>
    </w:p>
    <w:p>
      <w:pPr>
        <w:pStyle w:val="Heading1"/>
        <w:spacing w:line="480" w:lineRule="auto"/>
      </w:pPr>
      <w:r>
        <w:t>Appendices</w:t>
      </w:r>
    </w:p>
    <w:p>
      <w:pPr>
        <w:pStyle w:val="Heading2"/>
        <w:spacing w:line="480" w:lineRule="auto"/>
      </w:pPr>
      <w:r>
        <w:t>Appendix A: Key Legislation Governing Heritage Preservation in Germany</w:t>
      </w:r>
    </w:p>
    <w:p>
      <w:pPr>
        <w:pStyle w:val="ListBullet"/>
        <w:spacing w:line="480" w:lineRule="auto"/>
      </w:pPr>
      <w:r>
        <w:t>Denkmalschutzgesetz (Heritage Protection Act, 1970): Federal framework establishing principles for heritage protection and administration through state-level authorities.</w:t>
      </w:r>
    </w:p>
    <w:p>
      <w:pPr>
        <w:pStyle w:val="ListBullet"/>
        <w:spacing w:line="480" w:lineRule="auto"/>
      </w:pPr>
      <w:r>
        <w:t>Berlin Denkmalschutzgesetz (Berlin Heritage Protection Act, 1995): State-level implementation in Berlin, establishing Berlin's State Heritage Office and procedures for heritage designation.</w:t>
      </w:r>
    </w:p>
    <w:p>
      <w:pPr>
        <w:pStyle w:val="ListBullet"/>
        <w:spacing w:line="480" w:lineRule="auto"/>
      </w:pPr>
      <w:r>
        <w:t>Präambel des Grundgesetzes (Preamble to the German Constitution, 1949): Recognizes cultural heritage as a constitutional value worthy of protection.</w:t>
      </w:r>
    </w:p>
    <w:p>
      <w:pPr>
        <w:pStyle w:val="ListBullet"/>
        <w:spacing w:line="480" w:lineRule="auto"/>
      </w:pPr>
      <w:r>
        <w:t>Verwaltungsverfahrensgesetz (Administrative Procedures Act, 1976): Governs administrative processes including public participation in heritage decisions.</w:t>
      </w:r>
    </w:p>
    <w:p>
      <w:pPr>
        <w:pStyle w:val="ListBullet"/>
        <w:spacing w:line="480" w:lineRule="auto"/>
      </w:pPr>
      <w:r>
        <w:t>UNESCO World Heritage Convention (1972): International framework to which Germany is signatory, establishing criteria for World Heritage designation.</w:t>
      </w:r>
    </w:p>
    <w:p>
      <w:pPr>
        <w:pStyle w:val="Heading2"/>
        <w:spacing w:line="480" w:lineRule="auto"/>
      </w:pPr>
      <w:r>
        <w:t>Appendix B: Berlin Case Study Sites – Visitor Statistics and Management Data</w:t>
      </w:r>
    </w:p>
    <w:p>
      <w:pPr>
        <w:spacing w:line="480" w:lineRule="auto"/>
      </w:pPr>
      <w:r>
        <w:t>Museum Island (2019): Approximately 2.0 million annual visitors across five museums; entrance fees generate approximately €18.2 million annually; ongoing restoration budget approximately €250 million through 2030.</w:t>
        <w:br/>
        <w:br/>
        <w:t>East Side Gallery (2019): Approximately 1.2 million annual visitors; designated as UNESCO World Heritage Site component (2008); managed by non-profit organization with public funding and private donations.</w:t>
        <w:br/>
        <w:br/>
        <w:t>Gedenkstätte Berliner Mauer (Wall Memorial Site) at Bernauer Straße (2019): Approximately 650,000 annual visitors; operates as federal memorial site with annual budget approximately €3.2 million for site management and educational programming.</w:t>
        <w:br/>
        <w:br/>
        <w:t>Gendarmenmarkt (2019): Approximately 8-12 million visitors annually during Christmas market season (approximately 4 weeks); regular season visitors estimated at 2-3 million annually; German Konzerthaus (concert hall) operates approximately 200 performances annually.</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