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765BA3" w:rsidRPr="00765BA3" w:rsidRDefault="00D26592" w:rsidP="00765BA3">
      <w:pPr>
        <w:jc w:val="center"/>
        <w:rPr>
          <w:sz w:val="44"/>
          <w:szCs w:val="44"/>
        </w:rPr>
      </w:pPr>
      <w:r>
        <w:rPr>
          <w:b/>
          <w:bCs/>
          <w:sz w:val="48"/>
          <w:szCs w:val="48"/>
        </w:rPr>
        <w:t xml:space="preserve">Title: </w:t>
      </w:r>
      <w:proofErr w:type="spellStart"/>
      <w:r w:rsidR="00363944" w:rsidRPr="00363944">
        <w:rPr>
          <w:b/>
          <w:bCs/>
          <w:sz w:val="48"/>
          <w:szCs w:val="48"/>
        </w:rPr>
        <w:t>Phuket</w:t>
      </w:r>
      <w:proofErr w:type="spellEnd"/>
      <w:r w:rsidR="00363944" w:rsidRPr="00363944">
        <w:rPr>
          <w:b/>
          <w:bCs/>
          <w:sz w:val="48"/>
          <w:szCs w:val="48"/>
        </w:rPr>
        <w:t xml:space="preserve"> at the Crossroads: Applying the TALC Model to Regenerate Island Tourism</w:t>
      </w:r>
      <w:r>
        <w:rPr>
          <w:b/>
          <w:sz w:val="40"/>
          <w:szCs w:val="40"/>
        </w:rPr>
        <w:br/>
      </w:r>
      <w:r>
        <w:rPr>
          <w:sz w:val="40"/>
          <w:szCs w:val="40"/>
        </w:rPr>
        <w:br/>
      </w:r>
      <w:r w:rsidR="00765BA3" w:rsidRPr="00765BA3">
        <w:rPr>
          <w:sz w:val="44"/>
          <w:szCs w:val="44"/>
        </w:rPr>
        <w:t xml:space="preserve">Student Name: Ms. </w:t>
      </w:r>
      <w:proofErr w:type="spellStart"/>
      <w:r w:rsidR="00765BA3" w:rsidRPr="00765BA3">
        <w:rPr>
          <w:sz w:val="44"/>
          <w:szCs w:val="44"/>
        </w:rPr>
        <w:t>Asha</w:t>
      </w:r>
      <w:proofErr w:type="spellEnd"/>
      <w:r w:rsidR="00765BA3" w:rsidRPr="00765BA3">
        <w:rPr>
          <w:sz w:val="44"/>
          <w:szCs w:val="44"/>
        </w:rPr>
        <w:t xml:space="preserve"> </w:t>
      </w:r>
      <w:proofErr w:type="spellStart"/>
      <w:r w:rsidR="00765BA3" w:rsidRPr="00765BA3">
        <w:rPr>
          <w:sz w:val="44"/>
          <w:szCs w:val="44"/>
        </w:rPr>
        <w:t>Rani</w:t>
      </w:r>
      <w:proofErr w:type="spellEnd"/>
      <w:r w:rsidR="00765BA3" w:rsidRPr="00765BA3">
        <w:rPr>
          <w:sz w:val="44"/>
          <w:szCs w:val="44"/>
        </w:rPr>
        <w:br/>
        <w:t>Student ID: DE240018</w:t>
      </w:r>
    </w:p>
    <w:p w:rsidR="00D26592" w:rsidRDefault="00D26592" w:rsidP="00D26592">
      <w:pPr>
        <w:jc w:val="center"/>
        <w:rPr>
          <w:sz w:val="44"/>
          <w:szCs w:val="44"/>
        </w:rPr>
      </w:pP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C448D7" w:rsidRDefault="00C448D7" w:rsidP="00D26592"/>
    <w:p w:rsidR="00C448D7" w:rsidRDefault="00C448D7" w:rsidP="00D26592"/>
    <w:p w:rsidR="00C448D7" w:rsidRDefault="00C448D7" w:rsidP="00D26592"/>
    <w:p w:rsidR="00C448D7" w:rsidRDefault="00C448D7" w:rsidP="00D26592"/>
    <w:p w:rsidR="00C448D7" w:rsidRDefault="00C448D7" w:rsidP="00D26592"/>
    <w:p w:rsidR="00B74537" w:rsidRDefault="00B74537" w:rsidP="00D26592"/>
    <w:p w:rsidR="00EF48E0" w:rsidRDefault="00EF48E0" w:rsidP="00D26592"/>
    <w:p w:rsidR="00EF48E0" w:rsidRDefault="00EF48E0" w:rsidP="00D26592"/>
    <w:p w:rsidR="00EF48E0" w:rsidRDefault="00EF48E0" w:rsidP="00EF48E0">
      <w:pPr>
        <w:pStyle w:val="Heading1"/>
      </w:pPr>
      <w:r>
        <w:rPr>
          <w:rStyle w:val="Strong"/>
          <w:b/>
          <w:bCs/>
        </w:rPr>
        <w:lastRenderedPageBreak/>
        <w:t>Table of Contents</w:t>
      </w:r>
    </w:p>
    <w:p w:rsidR="00EF48E0" w:rsidRDefault="00EF48E0" w:rsidP="00EF48E0">
      <w:pPr>
        <w:pStyle w:val="NormalWeb"/>
        <w:numPr>
          <w:ilvl w:val="0"/>
          <w:numId w:val="19"/>
        </w:numPr>
      </w:pPr>
      <w:r>
        <w:t>Abstract</w:t>
      </w:r>
    </w:p>
    <w:p w:rsidR="00EF48E0" w:rsidRDefault="00EF48E0" w:rsidP="00EF48E0">
      <w:pPr>
        <w:pStyle w:val="NormalWeb"/>
        <w:numPr>
          <w:ilvl w:val="0"/>
          <w:numId w:val="19"/>
        </w:numPr>
      </w:pPr>
      <w:r>
        <w:t>Introduction</w:t>
      </w:r>
    </w:p>
    <w:p w:rsidR="00EF48E0" w:rsidRDefault="00EF48E0" w:rsidP="00EF48E0">
      <w:pPr>
        <w:pStyle w:val="NormalWeb"/>
        <w:numPr>
          <w:ilvl w:val="0"/>
          <w:numId w:val="19"/>
        </w:numPr>
      </w:pPr>
      <w:r>
        <w:t>Literature Review</w:t>
      </w:r>
    </w:p>
    <w:p w:rsidR="00EF48E0" w:rsidRDefault="00EF48E0" w:rsidP="00EF48E0">
      <w:pPr>
        <w:pStyle w:val="NormalWeb"/>
        <w:numPr>
          <w:ilvl w:val="0"/>
          <w:numId w:val="19"/>
        </w:numPr>
      </w:pPr>
      <w:r>
        <w:t>Methodology</w:t>
      </w:r>
    </w:p>
    <w:p w:rsidR="00EF48E0" w:rsidRDefault="00EF48E0" w:rsidP="00EF48E0">
      <w:pPr>
        <w:pStyle w:val="NormalWeb"/>
        <w:numPr>
          <w:ilvl w:val="0"/>
          <w:numId w:val="19"/>
        </w:numPr>
      </w:pPr>
      <w:r>
        <w:t>Findings</w:t>
      </w:r>
    </w:p>
    <w:p w:rsidR="00EF48E0" w:rsidRDefault="00EF48E0" w:rsidP="00EF48E0">
      <w:pPr>
        <w:pStyle w:val="NormalWeb"/>
        <w:numPr>
          <w:ilvl w:val="0"/>
          <w:numId w:val="19"/>
        </w:numPr>
      </w:pPr>
      <w:r>
        <w:t>Discussion</w:t>
      </w:r>
    </w:p>
    <w:p w:rsidR="00EF48E0" w:rsidRDefault="00EF48E0" w:rsidP="00EF48E0">
      <w:pPr>
        <w:pStyle w:val="NormalWeb"/>
        <w:numPr>
          <w:ilvl w:val="0"/>
          <w:numId w:val="19"/>
        </w:numPr>
      </w:pPr>
      <w:r>
        <w:t>Conclusion</w:t>
      </w:r>
    </w:p>
    <w:p w:rsidR="00EF48E0" w:rsidRDefault="00EF48E0" w:rsidP="00EF48E0">
      <w:pPr>
        <w:pStyle w:val="NormalWeb"/>
        <w:numPr>
          <w:ilvl w:val="0"/>
          <w:numId w:val="19"/>
        </w:numPr>
      </w:pPr>
      <w:r>
        <w:t>References</w:t>
      </w:r>
    </w:p>
    <w:p w:rsidR="007E0478" w:rsidRDefault="007E0478" w:rsidP="007E0478"/>
    <w:p w:rsidR="007E0478" w:rsidRDefault="007E0478" w:rsidP="007E0478">
      <w:pPr>
        <w:pStyle w:val="Heading3"/>
      </w:pPr>
      <w:r>
        <w:rPr>
          <w:rStyle w:val="Strong"/>
          <w:b/>
          <w:bCs/>
        </w:rPr>
        <w:t>1. Abstract</w:t>
      </w:r>
    </w:p>
    <w:p w:rsidR="007E0478" w:rsidRDefault="007E0478" w:rsidP="007E0478">
      <w:pPr>
        <w:pStyle w:val="NormalWeb"/>
      </w:pPr>
      <w:proofErr w:type="spellStart"/>
      <w:r>
        <w:t>Phuket</w:t>
      </w:r>
      <w:proofErr w:type="spellEnd"/>
      <w:r>
        <w:t xml:space="preserve">, one of Thailand’s most well-known island destinations, has undergone a significant transformation in the past few decades, evolving from a low-key coastal settlement to a global tourism hotspot. However, this transformation has come with unintended consequences—ranging from unplanned urban expansion, ecological degradation, and cultural </w:t>
      </w:r>
      <w:proofErr w:type="spellStart"/>
      <w:r>
        <w:t>commodification</w:t>
      </w:r>
      <w:proofErr w:type="spellEnd"/>
      <w:r>
        <w:t xml:space="preserve">. The island’s overwhelming dependence on sun-sea-sand tourism, coupled with nightlife-centric marketing, has accelerated its saturation. According to Butler’s Tourism Area Life Cycle (TALC) model, these indicators are symptomatic of the stagnation phase, where growth levels off and tourism quality declines despite high visitor volume (Butler, 1980; </w:t>
      </w:r>
      <w:proofErr w:type="spellStart"/>
      <w:r>
        <w:t>Agarwal</w:t>
      </w:r>
      <w:proofErr w:type="spellEnd"/>
      <w:r>
        <w:t>, 2002).</w:t>
      </w:r>
    </w:p>
    <w:p w:rsidR="007E0478" w:rsidRDefault="007E0478" w:rsidP="007E0478">
      <w:pPr>
        <w:pStyle w:val="NormalWeb"/>
      </w:pPr>
      <w:proofErr w:type="spellStart"/>
      <w:r>
        <w:t>Phuket’s</w:t>
      </w:r>
      <w:proofErr w:type="spellEnd"/>
      <w:r>
        <w:t xml:space="preserve"> experience illustrates the challenges faced by island economies caught between growth expectations and sustainability imperatives. </w:t>
      </w:r>
      <w:proofErr w:type="gramStart"/>
      <w:r>
        <w:t>Overdevelopment of beaches, forest encroachment, and plastic pollution have</w:t>
      </w:r>
      <w:proofErr w:type="gramEnd"/>
      <w:r>
        <w:t xml:space="preserve"> all contributed to the degradation of natural assets that originally drew tourists to the island (</w:t>
      </w:r>
      <w:proofErr w:type="spellStart"/>
      <w:r>
        <w:t>Gössling</w:t>
      </w:r>
      <w:proofErr w:type="spellEnd"/>
      <w:r>
        <w:t xml:space="preserve"> et al., 2008). Moreover, the influx of tourists in peak seasons has strained local infrastructure, causing water shortages, traffic congestion, and increased waste. These issues are compounded by social displacement, as local communities are often sidelined in tourism policymaking and resource allocation (Cohen, 2011; </w:t>
      </w:r>
      <w:proofErr w:type="spellStart"/>
      <w:r>
        <w:t>Kontogeorgopoulos</w:t>
      </w:r>
      <w:proofErr w:type="spellEnd"/>
      <w:r>
        <w:t xml:space="preserve"> et al., 2014).</w:t>
      </w:r>
    </w:p>
    <w:p w:rsidR="007E0478" w:rsidRDefault="007E0478" w:rsidP="007E0478">
      <w:pPr>
        <w:pStyle w:val="NormalWeb"/>
      </w:pPr>
      <w:r>
        <w:t xml:space="preserve">The COVID-19 pandemic further exposed </w:t>
      </w:r>
      <w:proofErr w:type="spellStart"/>
      <w:r>
        <w:t>Phuket’s</w:t>
      </w:r>
      <w:proofErr w:type="spellEnd"/>
      <w:r>
        <w:t xml:space="preserve"> vulnerabilities. When international borders closed in 2020, the island’s economy virtually collapsed overnight due to its extreme reliance on inbound tourism (UNESCAP, 2021). Hotels shut down, informal workers lost income, and local businesses folded. This disruption revealed the inherent instability of an economy overly dependent on global mobility. As a result, policymakers and stakeholders have begun to seriously explore alternatives—wellness tourism, eco-tourism, and digital </w:t>
      </w:r>
      <w:proofErr w:type="spellStart"/>
      <w:r>
        <w:t>detox</w:t>
      </w:r>
      <w:proofErr w:type="spellEnd"/>
      <w:r>
        <w:t xml:space="preserve"> offerings—as new foundations for </w:t>
      </w:r>
      <w:proofErr w:type="spellStart"/>
      <w:r>
        <w:t>Phuket’s</w:t>
      </w:r>
      <w:proofErr w:type="spellEnd"/>
      <w:r>
        <w:t xml:space="preserve"> recovery (</w:t>
      </w:r>
      <w:proofErr w:type="spellStart"/>
      <w:r>
        <w:t>Dodds</w:t>
      </w:r>
      <w:proofErr w:type="spellEnd"/>
      <w:r>
        <w:t xml:space="preserve"> &amp; Butler, 2010; Morgan et al., 2003).</w:t>
      </w:r>
    </w:p>
    <w:p w:rsidR="007E0478" w:rsidRDefault="007E0478" w:rsidP="007E0478">
      <w:pPr>
        <w:pStyle w:val="NormalWeb"/>
      </w:pPr>
      <w:r>
        <w:t xml:space="preserve">This paper explores how </w:t>
      </w:r>
      <w:proofErr w:type="spellStart"/>
      <w:r>
        <w:t>Phuket</w:t>
      </w:r>
      <w:proofErr w:type="spellEnd"/>
      <w:r>
        <w:t xml:space="preserve"> can reinvent itself as a resilient, regenerative island economy. Central to this reinvention is the promotion of wellness experiences rooted in Thai tradition—such as meditation, herbal healing, yoga, and cultural immersion—which could help the island tap into growing global trends in mental health tourism and spiritual travel (Morgan et al., 2003). </w:t>
      </w:r>
      <w:proofErr w:type="gramStart"/>
      <w:r>
        <w:t xml:space="preserve">Furthermore, adopting eco-zoning to protect mangroves, coral reefs, and mountain ecosystems </w:t>
      </w:r>
      <w:r>
        <w:lastRenderedPageBreak/>
        <w:t>could safeguard natural assets for future generations while improving the quality of the tourist experience (</w:t>
      </w:r>
      <w:proofErr w:type="spellStart"/>
      <w:r>
        <w:t>Gössling</w:t>
      </w:r>
      <w:proofErr w:type="spellEnd"/>
      <w:r>
        <w:t xml:space="preserve"> et al., 2008).</w:t>
      </w:r>
      <w:proofErr w:type="gramEnd"/>
    </w:p>
    <w:p w:rsidR="007E0478" w:rsidRDefault="007E0478" w:rsidP="007E0478">
      <w:pPr>
        <w:pStyle w:val="NormalWeb"/>
      </w:pPr>
      <w:r>
        <w:t>Another important dimension of this reinvention strategy is local empowerment. The inclusion of community-based tourism (CBT) models allows local residents to co-create the tourism experience, retain economic benefits, and safeguard cultural values. These models can decentralize tourism away from overbuilt zones and towards underrepresented inland communities, creating more equitable development (</w:t>
      </w:r>
      <w:proofErr w:type="spellStart"/>
      <w:r>
        <w:t>Kontogeorgopoulos</w:t>
      </w:r>
      <w:proofErr w:type="spellEnd"/>
      <w:r>
        <w:t xml:space="preserve"> et al., 2014). Building an inclusive economic system also enhances social resilience during future crises.</w:t>
      </w:r>
    </w:p>
    <w:p w:rsidR="007E0478" w:rsidRDefault="007E0478" w:rsidP="007E0478">
      <w:pPr>
        <w:pStyle w:val="NormalWeb"/>
      </w:pPr>
      <w:r>
        <w:t xml:space="preserve">In conclusion, </w:t>
      </w:r>
      <w:proofErr w:type="spellStart"/>
      <w:r>
        <w:t>Phuket’s</w:t>
      </w:r>
      <w:proofErr w:type="spellEnd"/>
      <w:r>
        <w:t xml:space="preserve"> stagnation presents not a failure, but an opportunity to evolve into a more thoughtful and resilient tourism destination. By addressing environmental challenges, embracing wellness and digital </w:t>
      </w:r>
      <w:proofErr w:type="spellStart"/>
      <w:r>
        <w:t>detox</w:t>
      </w:r>
      <w:proofErr w:type="spellEnd"/>
      <w:r>
        <w:t xml:space="preserve"> branding, and promoting participatory governance, the island can recover stronger and smarter. This study applies the TALC model to map the current status and recommends multidimensional reforms to achieve a sustainable future that benefits both visitors and residents.</w:t>
      </w:r>
    </w:p>
    <w:p w:rsidR="007E0478" w:rsidRDefault="007E0478" w:rsidP="007E0478"/>
    <w:p w:rsidR="007E0478" w:rsidRDefault="007E0478" w:rsidP="007E0478">
      <w:pPr>
        <w:pStyle w:val="Heading3"/>
      </w:pPr>
      <w:r>
        <w:rPr>
          <w:rStyle w:val="Strong"/>
          <w:b/>
          <w:bCs/>
        </w:rPr>
        <w:t>2. Introduction</w:t>
      </w:r>
    </w:p>
    <w:p w:rsidR="007E0478" w:rsidRDefault="007E0478" w:rsidP="007E0478">
      <w:pPr>
        <w:pStyle w:val="NormalWeb"/>
      </w:pPr>
      <w:proofErr w:type="spellStart"/>
      <w:r>
        <w:t>Phuket’s</w:t>
      </w:r>
      <w:proofErr w:type="spellEnd"/>
      <w:r>
        <w:t xml:space="preserve"> journey from a quiet coastal town to one of Asia’s most visited island destinations is a story of rapid development, global exposure, and economic growth. Sparked by government investment in airport infrastructure and international marketing, </w:t>
      </w:r>
      <w:proofErr w:type="spellStart"/>
      <w:r>
        <w:t>Phuket</w:t>
      </w:r>
      <w:proofErr w:type="spellEnd"/>
      <w:r>
        <w:t xml:space="preserve"> emerged in the 1980s and 1990s as a popular destination for European and Asian tourists seeking tropical vacations (Cohen, 2011). This growth brought job creation, rising incomes, and new opportunities—but it also ushered in the seeds of saturation. Large-scale resorts replaced local settlements, and informal economies sprang up to meet the surging demand for entertainment and transport.</w:t>
      </w:r>
    </w:p>
    <w:p w:rsidR="007E0478" w:rsidRDefault="007E0478" w:rsidP="007E0478">
      <w:pPr>
        <w:pStyle w:val="NormalWeb"/>
      </w:pPr>
      <w:r>
        <w:t xml:space="preserve">The mainstay of </w:t>
      </w:r>
      <w:proofErr w:type="spellStart"/>
      <w:r>
        <w:t>Phuket’s</w:t>
      </w:r>
      <w:proofErr w:type="spellEnd"/>
      <w:r>
        <w:t xml:space="preserve"> tourism model has historically been centered on beach tourism and nightlife. While this formula proved profitable for decades, it eventually led to a branding crisis and what some scholars describe as “image fatigue” (Morgan et al., 2003). Tourists began perceiving the island as overcrowded and lacking in authenticity, pushing them toward less-developed alternatives such as </w:t>
      </w:r>
      <w:proofErr w:type="spellStart"/>
      <w:r>
        <w:t>Krabi</w:t>
      </w:r>
      <w:proofErr w:type="spellEnd"/>
      <w:r>
        <w:t xml:space="preserve"> or </w:t>
      </w:r>
      <w:proofErr w:type="spellStart"/>
      <w:r>
        <w:t>Koh</w:t>
      </w:r>
      <w:proofErr w:type="spellEnd"/>
      <w:r>
        <w:t xml:space="preserve"> </w:t>
      </w:r>
      <w:proofErr w:type="spellStart"/>
      <w:r>
        <w:t>Lipe</w:t>
      </w:r>
      <w:proofErr w:type="spellEnd"/>
      <w:r>
        <w:t xml:space="preserve">. The emphasis on volume over quality also compromised </w:t>
      </w:r>
      <w:proofErr w:type="spellStart"/>
      <w:r>
        <w:t>Phuket’s</w:t>
      </w:r>
      <w:proofErr w:type="spellEnd"/>
      <w:r>
        <w:t xml:space="preserve"> capacity to provide meaningful and diversified experiences.</w:t>
      </w:r>
    </w:p>
    <w:p w:rsidR="007E0478" w:rsidRDefault="007E0478" w:rsidP="007E0478">
      <w:pPr>
        <w:pStyle w:val="NormalWeb"/>
      </w:pPr>
      <w:r>
        <w:t xml:space="preserve">The COVID-19 pandemic marked a turning point. As Thailand closed its borders in early 2020, </w:t>
      </w:r>
      <w:proofErr w:type="spellStart"/>
      <w:r>
        <w:t>Phuket’s</w:t>
      </w:r>
      <w:proofErr w:type="spellEnd"/>
      <w:r>
        <w:t xml:space="preserve"> economy contracted dramatically. With nearly 90% of its workforce tied to the tourism sector—directly or indirectly—the island experienced job losses, debt spikes, and a rise in informal poverty (UNESCAP, 2021). Unlike destinations with diversified economies, </w:t>
      </w:r>
      <w:proofErr w:type="spellStart"/>
      <w:r>
        <w:t>Phuket</w:t>
      </w:r>
      <w:proofErr w:type="spellEnd"/>
      <w:r>
        <w:t xml:space="preserve"> had few buffers. This economic shock highlighted the dangers of overdependence and pushed both public and private stakeholders to reconsider the status quo.</w:t>
      </w:r>
    </w:p>
    <w:p w:rsidR="007E0478" w:rsidRDefault="007E0478" w:rsidP="007E0478">
      <w:pPr>
        <w:pStyle w:val="NormalWeb"/>
      </w:pPr>
      <w:r>
        <w:t xml:space="preserve">This paper applies Butler’s Tourism Area Life Cycle (TALC) model to assess </w:t>
      </w:r>
      <w:proofErr w:type="spellStart"/>
      <w:r>
        <w:t>Phuket’s</w:t>
      </w:r>
      <w:proofErr w:type="spellEnd"/>
      <w:r>
        <w:t xml:space="preserve"> stagnation stage. The stagnation phase is characterized by the saturation of tourism infrastructure, declining visitor satisfaction, and rising resistance from host communities (Butler, </w:t>
      </w:r>
      <w:r>
        <w:lastRenderedPageBreak/>
        <w:t xml:space="preserve">1980). This conceptual framework helps analyze both the symptoms and structural conditions underpinning </w:t>
      </w:r>
      <w:proofErr w:type="spellStart"/>
      <w:r>
        <w:t>Phuket’s</w:t>
      </w:r>
      <w:proofErr w:type="spellEnd"/>
      <w:r>
        <w:t xml:space="preserve"> current crisis. The aim is not to critique past decisions, but to identify pathways for future growth based on resilience, sustainability, and local empowerment.</w:t>
      </w:r>
    </w:p>
    <w:p w:rsidR="007E0478" w:rsidRDefault="007E0478" w:rsidP="007E0478">
      <w:pPr>
        <w:pStyle w:val="NormalWeb"/>
      </w:pPr>
      <w:r>
        <w:t xml:space="preserve">The proposed reinvention strategy includes four components: wellness tourism promotion, digital </w:t>
      </w:r>
      <w:proofErr w:type="spellStart"/>
      <w:r>
        <w:t>detox</w:t>
      </w:r>
      <w:proofErr w:type="spellEnd"/>
      <w:r>
        <w:t xml:space="preserve"> rebranding, eco-zoning enforcement, and community-based economic inclusion. Each component aims to address different dimensions of the tourism system—from environmental protection and market repositioning to stakeholder collaboration. These measures are informed by case studies in other island regions such as Costa Rica, Kerala, and Palawan, where destination recovery has emphasized purpose-driven, low-impact tourism (</w:t>
      </w:r>
      <w:proofErr w:type="spellStart"/>
      <w:r>
        <w:t>Dodds</w:t>
      </w:r>
      <w:proofErr w:type="spellEnd"/>
      <w:r>
        <w:t xml:space="preserve"> &amp; Butler, 2010).</w:t>
      </w:r>
    </w:p>
    <w:p w:rsidR="007E0478" w:rsidRDefault="007E0478" w:rsidP="007E0478">
      <w:pPr>
        <w:pStyle w:val="NormalWeb"/>
      </w:pPr>
      <w:r>
        <w:t xml:space="preserve">Ultimately, the paper’s objective is to contribute to an emerging body of work advocating for regenerative tourism. By moving beyond recovery and into innovation, </w:t>
      </w:r>
      <w:proofErr w:type="spellStart"/>
      <w:r>
        <w:t>Phuket</w:t>
      </w:r>
      <w:proofErr w:type="spellEnd"/>
      <w:r>
        <w:t xml:space="preserve"> has the potential to become a global model of island resilience. The findings will be useful for policymakers, development planners, tourism entrepreneurs, and civil society organizations seeking to balance economic revitalization with ecological and cultural preservation.</w:t>
      </w:r>
    </w:p>
    <w:p w:rsidR="007E0478" w:rsidRDefault="007E0478" w:rsidP="007E0478"/>
    <w:p w:rsidR="007E0478" w:rsidRDefault="007E0478" w:rsidP="007E0478">
      <w:pPr>
        <w:pStyle w:val="Heading3"/>
      </w:pPr>
      <w:r>
        <w:rPr>
          <w:rStyle w:val="Strong"/>
          <w:b/>
          <w:bCs/>
        </w:rPr>
        <w:t>3. Literature Review</w:t>
      </w:r>
    </w:p>
    <w:p w:rsidR="007E0478" w:rsidRDefault="007E0478" w:rsidP="007E0478">
      <w:pPr>
        <w:pStyle w:val="Heading4"/>
      </w:pPr>
      <w:r>
        <w:rPr>
          <w:rStyle w:val="Strong"/>
          <w:b/>
          <w:bCs/>
        </w:rPr>
        <w:t>3.1 TALC and Southeast Asian Destinations</w:t>
      </w:r>
    </w:p>
    <w:p w:rsidR="007E0478" w:rsidRDefault="007E0478" w:rsidP="007E0478">
      <w:pPr>
        <w:pStyle w:val="NormalWeb"/>
      </w:pPr>
      <w:r>
        <w:t xml:space="preserve">The Tourism Area Life Cycle (TALC) model introduced by Butler (1980) is frequently used to analyze the development trajectory of tourism destinations. In the Southeast Asian context, the model has been applied to locations such as Bali, </w:t>
      </w:r>
      <w:proofErr w:type="spellStart"/>
      <w:r>
        <w:t>Pattaya</w:t>
      </w:r>
      <w:proofErr w:type="spellEnd"/>
      <w:r>
        <w:t xml:space="preserve">, and </w:t>
      </w:r>
      <w:proofErr w:type="spellStart"/>
      <w:r>
        <w:t>Phuket</w:t>
      </w:r>
      <w:proofErr w:type="spellEnd"/>
      <w:r>
        <w:t xml:space="preserve"> to understand how rapid growth can result in stagnation or even decline (</w:t>
      </w:r>
      <w:proofErr w:type="spellStart"/>
      <w:r>
        <w:t>Agarwal</w:t>
      </w:r>
      <w:proofErr w:type="spellEnd"/>
      <w:r>
        <w:t xml:space="preserve">, 2002). Stagnation manifests in various ways: overcrowded attractions, infrastructural decay, social discontent, and environmental stress. </w:t>
      </w:r>
      <w:proofErr w:type="spellStart"/>
      <w:r>
        <w:t>Phuket</w:t>
      </w:r>
      <w:proofErr w:type="spellEnd"/>
      <w:r>
        <w:t xml:space="preserve"> demonstrates several of these features, particularly in </w:t>
      </w:r>
      <w:proofErr w:type="spellStart"/>
      <w:r>
        <w:t>Patong</w:t>
      </w:r>
      <w:proofErr w:type="spellEnd"/>
      <w:r>
        <w:t xml:space="preserve"> Beach and other tourist-heavy zones where carrying capacity has been exceeded.</w:t>
      </w:r>
    </w:p>
    <w:p w:rsidR="007E0478" w:rsidRDefault="007E0478" w:rsidP="007E0478">
      <w:pPr>
        <w:pStyle w:val="NormalWeb"/>
      </w:pPr>
      <w:r>
        <w:t xml:space="preserve">Research indicates that destinations in the stagnation phase often experience diminishing returns on tourism investment and increased vulnerability to external shocks (Cohen, 2011). In </w:t>
      </w:r>
      <w:proofErr w:type="spellStart"/>
      <w:r>
        <w:t>Phuket’s</w:t>
      </w:r>
      <w:proofErr w:type="spellEnd"/>
      <w:r>
        <w:t xml:space="preserve"> case, the COVID-19 crisis accelerated stagnation indicators by exposing systemic flaws in economic planning. Furthermore, comparative studies on Bali’s </w:t>
      </w:r>
      <w:proofErr w:type="spellStart"/>
      <w:r>
        <w:t>Kuta</w:t>
      </w:r>
      <w:proofErr w:type="spellEnd"/>
      <w:r>
        <w:t xml:space="preserve"> Beach and </w:t>
      </w:r>
      <w:proofErr w:type="spellStart"/>
      <w:r>
        <w:t>Pattaya’s</w:t>
      </w:r>
      <w:proofErr w:type="spellEnd"/>
      <w:r>
        <w:t xml:space="preserve"> Walking Street reinforce that unchecked tourism expansion leads to similar challenges: loss of cultural integrity, </w:t>
      </w:r>
      <w:proofErr w:type="spellStart"/>
      <w:r>
        <w:t>commodification</w:t>
      </w:r>
      <w:proofErr w:type="spellEnd"/>
      <w:r>
        <w:t xml:space="preserve"> of space, and market fatigue among repeat travelers (</w:t>
      </w:r>
      <w:proofErr w:type="spellStart"/>
      <w:r>
        <w:t>Gössling</w:t>
      </w:r>
      <w:proofErr w:type="spellEnd"/>
      <w:r>
        <w:t xml:space="preserve"> et al., 2008).</w:t>
      </w:r>
    </w:p>
    <w:p w:rsidR="007E0478" w:rsidRDefault="007E0478" w:rsidP="007E0478">
      <w:pPr>
        <w:pStyle w:val="Heading4"/>
      </w:pPr>
      <w:r>
        <w:rPr>
          <w:rStyle w:val="Strong"/>
          <w:b/>
          <w:bCs/>
        </w:rPr>
        <w:t>3.2 COVID-19 and Island Tourism Dependency</w:t>
      </w:r>
    </w:p>
    <w:p w:rsidR="007E0478" w:rsidRDefault="007E0478" w:rsidP="007E0478">
      <w:pPr>
        <w:pStyle w:val="NormalWeb"/>
      </w:pPr>
      <w:r>
        <w:t xml:space="preserve">Island destinations are inherently more susceptible to disruptions due to their physical isolation and limited economic diversification. During the COVID-19 pandemic, </w:t>
      </w:r>
      <w:proofErr w:type="spellStart"/>
      <w:r>
        <w:t>Phuket’s</w:t>
      </w:r>
      <w:proofErr w:type="spellEnd"/>
      <w:r>
        <w:t xml:space="preserve"> tourism-driven economy contracted by over 80%, with major layoffs in hospitality, transport, and retail sectors (UNESCAP, 2021). The pandemic served as a stress test, showing that resilience must be a </w:t>
      </w:r>
      <w:r>
        <w:lastRenderedPageBreak/>
        <w:t>central pillar in tourism planning. Lack of domestic tourism channels, minimal agricultural activity, and supply chain dependencies deepened the island’s vulnerability.</w:t>
      </w:r>
    </w:p>
    <w:p w:rsidR="007E0478" w:rsidRDefault="007E0478" w:rsidP="007E0478">
      <w:pPr>
        <w:pStyle w:val="NormalWeb"/>
      </w:pPr>
      <w:r>
        <w:t xml:space="preserve">According to the Thai Ministry of Tourism (2022), small-scale tourism entrepreneurs were among the hardest hit, particularly those without formal business registrations. This crisis prompted discussions on rebalancing the economy through alternative sectors such as </w:t>
      </w:r>
      <w:proofErr w:type="spellStart"/>
      <w:r>
        <w:t>agri</w:t>
      </w:r>
      <w:proofErr w:type="spellEnd"/>
      <w:r>
        <w:t>-tourism, wellness retreats, and heritage travel. Studies highlight the importance of economic flexibility and social safety nets in buffering such shocks (</w:t>
      </w:r>
      <w:proofErr w:type="spellStart"/>
      <w:r>
        <w:t>Dodds</w:t>
      </w:r>
      <w:proofErr w:type="spellEnd"/>
      <w:r>
        <w:t xml:space="preserve"> &amp; Butler, 2010). In this light, </w:t>
      </w:r>
      <w:proofErr w:type="spellStart"/>
      <w:r>
        <w:t>Phuket’s</w:t>
      </w:r>
      <w:proofErr w:type="spellEnd"/>
      <w:r>
        <w:t xml:space="preserve"> post-pandemic strategy must actively pursue diversification and resilience-building.</w:t>
      </w:r>
    </w:p>
    <w:p w:rsidR="007E0478" w:rsidRDefault="007E0478" w:rsidP="007E0478">
      <w:pPr>
        <w:pStyle w:val="Heading4"/>
      </w:pPr>
      <w:r>
        <w:rPr>
          <w:rStyle w:val="Strong"/>
          <w:b/>
          <w:bCs/>
        </w:rPr>
        <w:t>3.3 Sustainable Coastal Tourism</w:t>
      </w:r>
    </w:p>
    <w:p w:rsidR="007E0478" w:rsidRDefault="007E0478" w:rsidP="007E0478">
      <w:pPr>
        <w:pStyle w:val="NormalWeb"/>
      </w:pPr>
      <w:r>
        <w:t>Sustainable coastal tourism requires harmonizing environmental protection with socio-economic development. Scholars argue that without regulatory frameworks to manage land use, marine resources, and energy consumption, coastal destinations are prone to degradation (</w:t>
      </w:r>
      <w:proofErr w:type="spellStart"/>
      <w:r>
        <w:t>Gössling</w:t>
      </w:r>
      <w:proofErr w:type="spellEnd"/>
      <w:r>
        <w:t xml:space="preserve"> et al., 2008). In </w:t>
      </w:r>
      <w:proofErr w:type="spellStart"/>
      <w:r>
        <w:t>Phuket</w:t>
      </w:r>
      <w:proofErr w:type="spellEnd"/>
      <w:r>
        <w:t>, rapid hotel construction and wetland infill have reduced biodiversity and impaired the coastal buffer system that protects against flooding and erosion. The pressure on coral reefs from diving tours and boat anchoring has led to habitat loss and bleaching.</w:t>
      </w:r>
    </w:p>
    <w:p w:rsidR="007E0478" w:rsidRDefault="007E0478" w:rsidP="007E0478">
      <w:pPr>
        <w:pStyle w:val="NormalWeb"/>
      </w:pPr>
      <w:r>
        <w:t xml:space="preserve">Carrying capacity analysis and eco-zoning are tools that can help </w:t>
      </w:r>
      <w:proofErr w:type="spellStart"/>
      <w:r>
        <w:t>Phuket</w:t>
      </w:r>
      <w:proofErr w:type="spellEnd"/>
      <w:r>
        <w:t xml:space="preserve"> reverse environmental decline. </w:t>
      </w:r>
      <w:proofErr w:type="spellStart"/>
      <w:r>
        <w:t>Dodds</w:t>
      </w:r>
      <w:proofErr w:type="spellEnd"/>
      <w:r>
        <w:t xml:space="preserve"> and Butler (2010) propose that limiting tourist numbers, rotating access to sensitive zones, and encouraging off-beach experiences can ease environmental stress. Additionally, sustainability education campaigns targeting both tourists and operators can foster a culture of stewardship. Eco-certification for hotels and green construction guidelines can institutionalize best practices in the tourism value chain.</w:t>
      </w:r>
    </w:p>
    <w:p w:rsidR="007E0478" w:rsidRDefault="007E0478" w:rsidP="007E0478">
      <w:pPr>
        <w:pStyle w:val="Heading4"/>
      </w:pPr>
      <w:r>
        <w:rPr>
          <w:rStyle w:val="Strong"/>
          <w:b/>
          <w:bCs/>
        </w:rPr>
        <w:t>3.4 Destination Rebranding and Innovation</w:t>
      </w:r>
    </w:p>
    <w:p w:rsidR="007E0478" w:rsidRDefault="007E0478" w:rsidP="007E0478">
      <w:pPr>
        <w:pStyle w:val="NormalWeb"/>
      </w:pPr>
      <w:r>
        <w:t xml:space="preserve">Tourism destinations experiencing stagnation often face the problem of image fatigue—where once-exciting experiences become perceived as </w:t>
      </w:r>
      <w:proofErr w:type="spellStart"/>
      <w:r>
        <w:t>commodified</w:t>
      </w:r>
      <w:proofErr w:type="spellEnd"/>
      <w:r>
        <w:t xml:space="preserve"> or repetitive (Morgan et al., 2003). For </w:t>
      </w:r>
      <w:proofErr w:type="spellStart"/>
      <w:r>
        <w:t>Phuket</w:t>
      </w:r>
      <w:proofErr w:type="spellEnd"/>
      <w:r>
        <w:t>, the challenge is to shift its branding away from the nightlife-focused image and toward something more meaningful and health-oriented. Wellness tourism presents an opportunity to tap into global demand for mental and physical well-being, especially in the post-COVID world. Activities like Thai massage, herbal therapies, mindfulness retreats, and culinary wellness can be part of the new brand identity.</w:t>
      </w:r>
    </w:p>
    <w:p w:rsidR="007E0478" w:rsidRDefault="007E0478" w:rsidP="007E0478">
      <w:pPr>
        <w:pStyle w:val="NormalWeb"/>
      </w:pPr>
      <w:r>
        <w:t xml:space="preserve">Innovation is also essential in service design. Scholars suggest that “transformational tourism,” which offers personal growth through cultural engagement and learning, is gaining popularity (Pike &amp; Page, 2014). </w:t>
      </w:r>
      <w:proofErr w:type="spellStart"/>
      <w:r>
        <w:t>Phuket</w:t>
      </w:r>
      <w:proofErr w:type="spellEnd"/>
      <w:r>
        <w:t xml:space="preserve"> can leverage its natural and spiritual resources to provide immersive experiences such as forest bathing, Buddhist teachings, and digital </w:t>
      </w:r>
      <w:proofErr w:type="spellStart"/>
      <w:r>
        <w:t>detox</w:t>
      </w:r>
      <w:proofErr w:type="spellEnd"/>
      <w:r>
        <w:t xml:space="preserve"> packages. These new offerings not only attract quality travelers but also support environmental sustainability by promoting longer stays and smaller group interactions.</w:t>
      </w:r>
    </w:p>
    <w:p w:rsidR="007E0478" w:rsidRDefault="007E0478" w:rsidP="007E0478">
      <w:pPr>
        <w:pStyle w:val="Heading4"/>
      </w:pPr>
      <w:r>
        <w:rPr>
          <w:rStyle w:val="Strong"/>
          <w:b/>
          <w:bCs/>
        </w:rPr>
        <w:lastRenderedPageBreak/>
        <w:t>3.5 Thai Cultural Assets and CBT</w:t>
      </w:r>
    </w:p>
    <w:p w:rsidR="007E0478" w:rsidRDefault="007E0478" w:rsidP="007E0478">
      <w:pPr>
        <w:pStyle w:val="NormalWeb"/>
      </w:pPr>
      <w:r>
        <w:t>Community-based tourism (CBT) is an effective strategy for preserving cultural identity while distributing economic benefits more equitably (</w:t>
      </w:r>
      <w:proofErr w:type="spellStart"/>
      <w:r>
        <w:t>Kontogeorgopoulos</w:t>
      </w:r>
      <w:proofErr w:type="spellEnd"/>
      <w:r>
        <w:t xml:space="preserve"> et al., 2014). In </w:t>
      </w:r>
      <w:proofErr w:type="spellStart"/>
      <w:r>
        <w:t>Phuket’s</w:t>
      </w:r>
      <w:proofErr w:type="spellEnd"/>
      <w:r>
        <w:t xml:space="preserve"> less-visited areas such as </w:t>
      </w:r>
      <w:proofErr w:type="spellStart"/>
      <w:r>
        <w:t>Kathu</w:t>
      </w:r>
      <w:proofErr w:type="spellEnd"/>
      <w:r>
        <w:t xml:space="preserve">, </w:t>
      </w:r>
      <w:proofErr w:type="spellStart"/>
      <w:r>
        <w:t>Chalong</w:t>
      </w:r>
      <w:proofErr w:type="spellEnd"/>
      <w:r>
        <w:t>, or inland villages, CBT initiatives have introduced tourists to local customs, crafts, and cuisine. These programs offer an antidote to mass tourism by encouraging meaningful interaction between hosts and guests. They also strengthen community agency and promote pride in heritage.</w:t>
      </w:r>
    </w:p>
    <w:p w:rsidR="007E0478" w:rsidRDefault="007E0478" w:rsidP="007E0478">
      <w:pPr>
        <w:pStyle w:val="NormalWeb"/>
      </w:pPr>
      <w:r>
        <w:t>However, CBT requires strong institutional support. Challenges include lack of marketing capacity, inconsistent quality, and bureaucratic hurdles. Training programs, financial grants, and public-private partnerships can help address these gaps. Scholars emphasize that CBT works best when it is not merely a development project but an organic extension of community life (Cohen, 2011). When done well, CBT can restore authenticity to tourism and transform it into a tool for cultural revival and rural development.</w:t>
      </w:r>
    </w:p>
    <w:p w:rsidR="007E0478" w:rsidRDefault="007E0478" w:rsidP="007E0478"/>
    <w:p w:rsidR="007E0478" w:rsidRDefault="007E0478" w:rsidP="007E0478">
      <w:pPr>
        <w:pStyle w:val="Heading3"/>
      </w:pPr>
      <w:r>
        <w:rPr>
          <w:rStyle w:val="Strong"/>
          <w:b/>
          <w:bCs/>
        </w:rPr>
        <w:t>4. Methodology</w:t>
      </w:r>
    </w:p>
    <w:p w:rsidR="007E0478" w:rsidRDefault="007E0478" w:rsidP="007E0478">
      <w:pPr>
        <w:pStyle w:val="NormalWeb"/>
      </w:pPr>
      <w:r>
        <w:t xml:space="preserve">This study adopts a qualitative, descriptive research methodology suitable for examining complex socio-environmental problems in specific contexts. Given the multifaceted nature of </w:t>
      </w:r>
      <w:proofErr w:type="spellStart"/>
      <w:r>
        <w:t>Phuket’s</w:t>
      </w:r>
      <w:proofErr w:type="spellEnd"/>
      <w:r>
        <w:t xml:space="preserve"> tourism stagnation and recovery prospects, a case study approach provides the depth and nuance required to understand local realities and stakeholder perspectives (Creswell, 2013). The method facilitates thematic exploration and policy-relevant analysis.</w:t>
      </w:r>
    </w:p>
    <w:p w:rsidR="007E0478" w:rsidRDefault="007E0478" w:rsidP="007E0478">
      <w:pPr>
        <w:pStyle w:val="NormalWeb"/>
      </w:pPr>
      <w:r>
        <w:t>Secondary data sources were collected from 2015 to 2023, focusing on tourism reports from the Thai Ministry of Tourism and Sports, international organizations such as UNESCAP, and academic studies on Southeast Asian tourism. Additionally, local news media, NGO white papers, and destination management plans were reviewed to capture real-time developments and community responses. This diversity of sources enhances the reliability of the findings (Yin, 2014).</w:t>
      </w:r>
    </w:p>
    <w:p w:rsidR="007E0478" w:rsidRDefault="007E0478" w:rsidP="007E0478">
      <w:pPr>
        <w:pStyle w:val="NormalWeb"/>
      </w:pPr>
      <w:r>
        <w:t xml:space="preserve">Analytical tools included the TALC framework, which guided the mapping of </w:t>
      </w:r>
      <w:proofErr w:type="spellStart"/>
      <w:r>
        <w:t>Phuket’s</w:t>
      </w:r>
      <w:proofErr w:type="spellEnd"/>
      <w:r>
        <w:t xml:space="preserve"> developmental stage. SWOT analysis was used to identify internal strengths and weaknesses as well as external opportunities and threats facing the island. Best practice benchmarking from comparable destinations such as Costa Rica, Kerala, and Palawan helped shape policy recommendations and contextualize </w:t>
      </w:r>
      <w:proofErr w:type="spellStart"/>
      <w:r>
        <w:t>Phuket’s</w:t>
      </w:r>
      <w:proofErr w:type="spellEnd"/>
      <w:r>
        <w:t xml:space="preserve"> reinvention strategy (</w:t>
      </w:r>
      <w:proofErr w:type="spellStart"/>
      <w:r>
        <w:t>Dodds</w:t>
      </w:r>
      <w:proofErr w:type="spellEnd"/>
      <w:r>
        <w:t xml:space="preserve"> &amp; Butler, 2010).</w:t>
      </w:r>
    </w:p>
    <w:p w:rsidR="007E0478" w:rsidRDefault="007E0478" w:rsidP="007E0478">
      <w:pPr>
        <w:pStyle w:val="NormalWeb"/>
      </w:pPr>
      <w:r>
        <w:t>Data were analyzed thematically using a coding matrix that categorized findings into key domains: environment, economy, branding, infrastructure, and community participation. This method allowed for the synthesis of scattered information into coherent insights. Emerging patterns informed the design of targeted reinvention strategies, ensuring alignment between diagnostic findings and policy solutions (Creswell, 2013).</w:t>
      </w:r>
    </w:p>
    <w:p w:rsidR="007E0478" w:rsidRDefault="007E0478" w:rsidP="007E0478">
      <w:pPr>
        <w:pStyle w:val="NormalWeb"/>
      </w:pPr>
      <w:r>
        <w:lastRenderedPageBreak/>
        <w:t>Finally, the research methodology emphasized inclusivity. Local perspectives, as captured through NGO and media sources, were given equal weight to official data. This ensured that the proposed strategies reflected not only top-down planning but also bottom-up realities. Such a grounded approach improves the applicability of recommendations and supports equitable tourism governance (</w:t>
      </w:r>
      <w:proofErr w:type="spellStart"/>
      <w:r>
        <w:t>Kontogeorgopoulos</w:t>
      </w:r>
      <w:proofErr w:type="spellEnd"/>
      <w:r>
        <w:t xml:space="preserve"> et al., 2014).</w:t>
      </w:r>
    </w:p>
    <w:p w:rsidR="007E0478" w:rsidRDefault="007E0478" w:rsidP="00EF48E0">
      <w:pPr>
        <w:pStyle w:val="Heading2"/>
        <w:rPr>
          <w:rStyle w:val="Strong"/>
          <w:b/>
          <w:bCs/>
        </w:rPr>
      </w:pPr>
    </w:p>
    <w:p w:rsidR="00EF48E0" w:rsidRDefault="00EF48E0" w:rsidP="00EF48E0">
      <w:pPr>
        <w:pStyle w:val="Heading2"/>
      </w:pPr>
      <w:r>
        <w:rPr>
          <w:rStyle w:val="Strong"/>
          <w:b/>
          <w:bCs/>
        </w:rPr>
        <w:t>5. Findings</w:t>
      </w:r>
    </w:p>
    <w:p w:rsidR="00EF48E0" w:rsidRDefault="00EF48E0" w:rsidP="00EF48E0">
      <w:pPr>
        <w:pStyle w:val="Heading3"/>
      </w:pPr>
      <w:r>
        <w:t>5.1 Current TALC Stage: Stagnation</w:t>
      </w:r>
    </w:p>
    <w:p w:rsidR="00EF48E0" w:rsidRDefault="00EF48E0" w:rsidP="00EF48E0">
      <w:pPr>
        <w:pStyle w:val="NormalWeb"/>
      </w:pPr>
      <w:proofErr w:type="spellStart"/>
      <w:r>
        <w:t>Phuket</w:t>
      </w:r>
      <w:proofErr w:type="spellEnd"/>
      <w:r>
        <w:t xml:space="preserve"> shows the following stagnation markers:</w:t>
      </w:r>
    </w:p>
    <w:p w:rsidR="00EF48E0" w:rsidRDefault="00EF48E0" w:rsidP="00EF48E0">
      <w:pPr>
        <w:pStyle w:val="NormalWeb"/>
        <w:numPr>
          <w:ilvl w:val="0"/>
          <w:numId w:val="23"/>
        </w:numPr>
      </w:pPr>
      <w:r>
        <w:t>Declining visitor satisfaction despite high arrivals</w:t>
      </w:r>
    </w:p>
    <w:p w:rsidR="00EF48E0" w:rsidRDefault="00EF48E0" w:rsidP="00EF48E0">
      <w:pPr>
        <w:pStyle w:val="NormalWeb"/>
        <w:numPr>
          <w:ilvl w:val="0"/>
          <w:numId w:val="23"/>
        </w:numPr>
      </w:pPr>
      <w:r>
        <w:t>Severe beach pollution and coral reef degradation</w:t>
      </w:r>
    </w:p>
    <w:p w:rsidR="00EF48E0" w:rsidRDefault="00EF48E0" w:rsidP="00EF48E0">
      <w:pPr>
        <w:pStyle w:val="NormalWeb"/>
        <w:numPr>
          <w:ilvl w:val="0"/>
          <w:numId w:val="23"/>
        </w:numPr>
      </w:pPr>
      <w:r>
        <w:t>Redundant nightlife and party tourism narratives</w:t>
      </w:r>
    </w:p>
    <w:p w:rsidR="00EF48E0" w:rsidRDefault="00EF48E0" w:rsidP="00EF48E0">
      <w:pPr>
        <w:pStyle w:val="NormalWeb"/>
        <w:numPr>
          <w:ilvl w:val="0"/>
          <w:numId w:val="23"/>
        </w:numPr>
      </w:pPr>
      <w:r>
        <w:t>Weak local participation in tourism value chains</w:t>
      </w:r>
    </w:p>
    <w:p w:rsidR="00EF48E0" w:rsidRDefault="00EF48E0" w:rsidP="00EF48E0">
      <w:pPr>
        <w:pStyle w:val="NormalWeb"/>
        <w:numPr>
          <w:ilvl w:val="0"/>
          <w:numId w:val="23"/>
        </w:numPr>
      </w:pPr>
      <w:r>
        <w:t>Vulnerability exposed by COVID-19 travel bans</w:t>
      </w:r>
    </w:p>
    <w:p w:rsidR="00EF48E0" w:rsidRDefault="00EF48E0" w:rsidP="00EF48E0">
      <w:pPr>
        <w:pStyle w:val="Heading3"/>
      </w:pPr>
      <w:r>
        <w:t>5.2 Internal Challenges</w:t>
      </w:r>
    </w:p>
    <w:p w:rsidR="00EF48E0" w:rsidRDefault="00EF48E0" w:rsidP="00EF48E0">
      <w:pPr>
        <w:pStyle w:val="NormalWeb"/>
        <w:numPr>
          <w:ilvl w:val="0"/>
          <w:numId w:val="24"/>
        </w:numPr>
      </w:pPr>
      <w:proofErr w:type="spellStart"/>
      <w:r>
        <w:t>Monocultural</w:t>
      </w:r>
      <w:proofErr w:type="spellEnd"/>
      <w:r>
        <w:t xml:space="preserve"> branding: party + beach = repetitive appeal</w:t>
      </w:r>
    </w:p>
    <w:p w:rsidR="00EF48E0" w:rsidRDefault="00EF48E0" w:rsidP="00EF48E0">
      <w:pPr>
        <w:pStyle w:val="NormalWeb"/>
        <w:numPr>
          <w:ilvl w:val="0"/>
          <w:numId w:val="24"/>
        </w:numPr>
      </w:pPr>
      <w:r>
        <w:t>Fragile ecosystems due to construction, deforestation, and plastic waste</w:t>
      </w:r>
    </w:p>
    <w:p w:rsidR="00EF48E0" w:rsidRDefault="00EF48E0" w:rsidP="00EF48E0">
      <w:pPr>
        <w:pStyle w:val="NormalWeb"/>
        <w:numPr>
          <w:ilvl w:val="0"/>
          <w:numId w:val="24"/>
        </w:numPr>
      </w:pPr>
      <w:r>
        <w:t>Cultural dilution and loss of indigenous heritage visibility</w:t>
      </w:r>
    </w:p>
    <w:p w:rsidR="00EF48E0" w:rsidRDefault="00EF48E0" w:rsidP="00EF48E0">
      <w:pPr>
        <w:pStyle w:val="Heading3"/>
      </w:pPr>
      <w:r>
        <w:t>5.3 External Challenges</w:t>
      </w:r>
    </w:p>
    <w:p w:rsidR="00EF48E0" w:rsidRDefault="00EF48E0" w:rsidP="00EF48E0">
      <w:pPr>
        <w:pStyle w:val="NormalWeb"/>
        <w:numPr>
          <w:ilvl w:val="0"/>
          <w:numId w:val="25"/>
        </w:numPr>
      </w:pPr>
      <w:r>
        <w:t xml:space="preserve">Rising competition from Bali, Vietnam’s </w:t>
      </w:r>
      <w:proofErr w:type="spellStart"/>
      <w:r>
        <w:t>Da</w:t>
      </w:r>
      <w:proofErr w:type="spellEnd"/>
      <w:r>
        <w:t xml:space="preserve"> Nang, and </w:t>
      </w:r>
      <w:proofErr w:type="spellStart"/>
      <w:r>
        <w:t>Langkawi</w:t>
      </w:r>
      <w:proofErr w:type="spellEnd"/>
    </w:p>
    <w:p w:rsidR="00EF48E0" w:rsidRDefault="00EF48E0" w:rsidP="00EF48E0">
      <w:pPr>
        <w:pStyle w:val="NormalWeb"/>
        <w:numPr>
          <w:ilvl w:val="0"/>
          <w:numId w:val="25"/>
        </w:numPr>
      </w:pPr>
      <w:r>
        <w:t>Changing tourist priorities: wellness, nature, and social impact</w:t>
      </w:r>
    </w:p>
    <w:p w:rsidR="00EF48E0" w:rsidRDefault="00EF48E0" w:rsidP="00EF48E0">
      <w:pPr>
        <w:pStyle w:val="NormalWeb"/>
        <w:numPr>
          <w:ilvl w:val="0"/>
          <w:numId w:val="25"/>
        </w:numPr>
      </w:pPr>
      <w:r>
        <w:t>Threat of climate-induced flooding and heat waves</w:t>
      </w:r>
    </w:p>
    <w:p w:rsidR="00EF48E0" w:rsidRDefault="00EF48E0" w:rsidP="00EF48E0"/>
    <w:p w:rsidR="009A412F" w:rsidRDefault="009A412F" w:rsidP="009A412F">
      <w:pPr>
        <w:pStyle w:val="Heading2"/>
      </w:pPr>
      <w:r>
        <w:rPr>
          <w:rStyle w:val="Strong"/>
          <w:b/>
          <w:bCs/>
        </w:rPr>
        <w:t>6. Discussion</w:t>
      </w:r>
    </w:p>
    <w:p w:rsidR="009A412F" w:rsidRDefault="009A412F" w:rsidP="009A412F">
      <w:pPr>
        <w:pStyle w:val="Heading3"/>
      </w:pPr>
      <w:r>
        <w:rPr>
          <w:rStyle w:val="Strong"/>
          <w:b/>
          <w:bCs/>
        </w:rPr>
        <w:t>6.1 Reinvention Strategy Overview</w:t>
      </w:r>
    </w:p>
    <w:p w:rsidR="009A412F" w:rsidRDefault="009A412F" w:rsidP="009A412F">
      <w:pPr>
        <w:pStyle w:val="NormalWeb"/>
      </w:pPr>
      <w:proofErr w:type="spellStart"/>
      <w:r>
        <w:t>Phuket’s</w:t>
      </w:r>
      <w:proofErr w:type="spellEnd"/>
      <w:r>
        <w:t xml:space="preserve"> reinvention strategy must begin by reconfiguring its tourism identity. For decades, the island’s brand has revolved around beach escapism, nightlife, and low-cost tourism, which, while lucrative, contributed to its socio-cultural erosion and environmental stress (Cohen, 2011; </w:t>
      </w:r>
      <w:proofErr w:type="spellStart"/>
      <w:r>
        <w:t>Gössling</w:t>
      </w:r>
      <w:proofErr w:type="spellEnd"/>
      <w:r>
        <w:t xml:space="preserve"> et al., 2008). A successful transformation depends on repositioning </w:t>
      </w:r>
      <w:proofErr w:type="spellStart"/>
      <w:r>
        <w:t>Phuket</w:t>
      </w:r>
      <w:proofErr w:type="spellEnd"/>
      <w:r>
        <w:t xml:space="preserve"> as a sanctuary of wellness, cultural depth, and environmental consciousness. This approach aligns with current global travel trends that favor mental health retreats, authenticity, and purpose-</w:t>
      </w:r>
      <w:r>
        <w:lastRenderedPageBreak/>
        <w:t>driven tourism experiences (Morgan et al., 2003). The new model emphasizes longer stays, lower environmental footprints, and higher visitor value, effectively shifting from mass market fatigue to meaningful engagement.</w:t>
      </w:r>
    </w:p>
    <w:p w:rsidR="009A412F" w:rsidRDefault="009A412F" w:rsidP="009A412F">
      <w:pPr>
        <w:pStyle w:val="NormalWeb"/>
      </w:pPr>
      <w:r>
        <w:t>The core pillars of this reinvention are wellness tourism, culture-based community tourism (CBT), eco-zoning, and regenerative infrastructure. Each addresses a specific vulnerability: wellness helps diversify offerings, CBT empowers local communities, zoning protects fragile ecosystems, and infrastructure resilience ensures preparedness for climate risks. These pillars collectively reframe tourism not merely as an economic driver but as a participatory development model that centers sustainability and inclusivity (</w:t>
      </w:r>
      <w:proofErr w:type="spellStart"/>
      <w:r>
        <w:t>Dodds</w:t>
      </w:r>
      <w:proofErr w:type="spellEnd"/>
      <w:r>
        <w:t xml:space="preserve"> &amp; Butler, 2010). Implementing this model also reduces </w:t>
      </w:r>
      <w:proofErr w:type="spellStart"/>
      <w:r>
        <w:t>Phuket’s</w:t>
      </w:r>
      <w:proofErr w:type="spellEnd"/>
      <w:r>
        <w:t xml:space="preserve"> dependency on international arrivals, enabling a stronger domestic and regional tourism base.</w:t>
      </w:r>
    </w:p>
    <w:p w:rsidR="009A412F" w:rsidRDefault="009A412F" w:rsidP="009A412F">
      <w:pPr>
        <w:pStyle w:val="NormalWeb"/>
      </w:pPr>
      <w:r>
        <w:t xml:space="preserve">Moreover, the success of this transition depends on robust stakeholder coordination across government, private sector, civil society, and local communities. Reforms must be institutionalized through local planning regulations, tourism governance frameworks, and performance-based incentive schemes (UNESCAP, 2021). </w:t>
      </w:r>
      <w:proofErr w:type="gramStart"/>
      <w:r>
        <w:t xml:space="preserve">Without these governance mechanisms, reinvention risks remaining superficial or </w:t>
      </w:r>
      <w:proofErr w:type="spellStart"/>
      <w:r>
        <w:t>performative</w:t>
      </w:r>
      <w:proofErr w:type="spellEnd"/>
      <w:r>
        <w:t>.</w:t>
      </w:r>
      <w:proofErr w:type="gramEnd"/>
      <w:r>
        <w:t xml:space="preserve"> Only by embedding transformation into policy, practice, and cultural narrative can </w:t>
      </w:r>
      <w:proofErr w:type="spellStart"/>
      <w:r>
        <w:t>Phuket</w:t>
      </w:r>
      <w:proofErr w:type="spellEnd"/>
      <w:r>
        <w:t xml:space="preserve"> become a globally recognized model for post-pandemic regenerative tourism.</w:t>
      </w:r>
    </w:p>
    <w:p w:rsidR="009A412F" w:rsidRDefault="009A412F" w:rsidP="009A412F"/>
    <w:p w:rsidR="009A412F" w:rsidRDefault="009A412F" w:rsidP="009A412F">
      <w:pPr>
        <w:pStyle w:val="Heading3"/>
      </w:pPr>
      <w:r>
        <w:rPr>
          <w:rStyle w:val="Strong"/>
          <w:b/>
          <w:bCs/>
        </w:rPr>
        <w:t>6.2 Proposed Strategic Innovations</w:t>
      </w:r>
    </w:p>
    <w:p w:rsidR="009A412F" w:rsidRDefault="009A412F" w:rsidP="009A412F">
      <w:pPr>
        <w:pStyle w:val="Heading4"/>
      </w:pPr>
      <w:r>
        <w:rPr>
          <w:rStyle w:val="Strong"/>
          <w:b/>
          <w:bCs/>
        </w:rPr>
        <w:t xml:space="preserve">6.2.1 Wellness and Digital </w:t>
      </w:r>
      <w:proofErr w:type="spellStart"/>
      <w:r>
        <w:rPr>
          <w:rStyle w:val="Strong"/>
          <w:b/>
          <w:bCs/>
        </w:rPr>
        <w:t>Detox</w:t>
      </w:r>
      <w:proofErr w:type="spellEnd"/>
      <w:r>
        <w:rPr>
          <w:rStyle w:val="Strong"/>
          <w:b/>
          <w:bCs/>
        </w:rPr>
        <w:t xml:space="preserve"> Tourism</w:t>
      </w:r>
    </w:p>
    <w:p w:rsidR="009A412F" w:rsidRDefault="009A412F" w:rsidP="009A412F">
      <w:pPr>
        <w:pStyle w:val="NormalWeb"/>
      </w:pPr>
      <w:r>
        <w:t xml:space="preserve">Wellness tourism offers a promising reinvention path that builds on Thailand’s traditional strengths in healing, hospitality, and mindfulness. Integrating mental health retreats, yoga sanctuaries, and immersive nature experiences would enable </w:t>
      </w:r>
      <w:proofErr w:type="spellStart"/>
      <w:r>
        <w:t>Phuket</w:t>
      </w:r>
      <w:proofErr w:type="spellEnd"/>
      <w:r>
        <w:t xml:space="preserve"> to appeal to a new segment of high-value travelers seeking serenity and transformation (Morgan et al., 2003). Nature immersion programs, such as forest bathing and island meditation, can be conducted in inland zones or </w:t>
      </w:r>
      <w:proofErr w:type="spellStart"/>
      <w:r>
        <w:t>rewilded</w:t>
      </w:r>
      <w:proofErr w:type="spellEnd"/>
      <w:r>
        <w:t xml:space="preserve"> coastal spaces, spreading tourism benefits geographically and reducing environmental pressure on already-saturated beaches (</w:t>
      </w:r>
      <w:proofErr w:type="spellStart"/>
      <w:r>
        <w:t>Suwan</w:t>
      </w:r>
      <w:proofErr w:type="spellEnd"/>
      <w:r>
        <w:t xml:space="preserve"> &amp; Hall, 2022).</w:t>
      </w:r>
    </w:p>
    <w:p w:rsidR="009A412F" w:rsidRDefault="009A412F" w:rsidP="009A412F">
      <w:pPr>
        <w:pStyle w:val="NormalWeb"/>
      </w:pPr>
      <w:r>
        <w:t>Partnering with Thai traditional healers and Buddhist temples can deepen the authenticity of wellness experiences while also supporting cultural preservation. These partnerships enable storytelling-based tourism that highlights the philosophical and spiritual depth of Thai culture—contrasting sharply with the commercialized spa industry. For example, Buddhist meditation retreats led by monks, herbal healing sessions, and mindfulness programs can be integrated into multi-day wellness packages tailored for international visitors (</w:t>
      </w:r>
      <w:proofErr w:type="spellStart"/>
      <w:r>
        <w:t>Kontogeorgopoulos</w:t>
      </w:r>
      <w:proofErr w:type="spellEnd"/>
      <w:r>
        <w:t xml:space="preserve"> et al., 2014). This approach repositions </w:t>
      </w:r>
      <w:proofErr w:type="spellStart"/>
      <w:r>
        <w:t>Phuket</w:t>
      </w:r>
      <w:proofErr w:type="spellEnd"/>
      <w:r>
        <w:t xml:space="preserve"> from a party island to a spiritual sanctuary.</w:t>
      </w:r>
    </w:p>
    <w:p w:rsidR="009A412F" w:rsidRDefault="009A412F" w:rsidP="009A412F">
      <w:pPr>
        <w:pStyle w:val="NormalWeb"/>
      </w:pPr>
      <w:r>
        <w:t xml:space="preserve">The “Offline </w:t>
      </w:r>
      <w:proofErr w:type="spellStart"/>
      <w:r>
        <w:t>Phuket</w:t>
      </w:r>
      <w:proofErr w:type="spellEnd"/>
      <w:r>
        <w:t xml:space="preserve">” digital </w:t>
      </w:r>
      <w:proofErr w:type="spellStart"/>
      <w:r>
        <w:t>detox</w:t>
      </w:r>
      <w:proofErr w:type="spellEnd"/>
      <w:r>
        <w:t xml:space="preserve"> initiative can capitalize on growing digital fatigue, especially in post-pandemic travelers. By offering </w:t>
      </w:r>
      <w:proofErr w:type="spellStart"/>
      <w:r>
        <w:t>curated</w:t>
      </w:r>
      <w:proofErr w:type="spellEnd"/>
      <w:r>
        <w:t xml:space="preserve"> ‘off-the-grid’ experiences—such as tech-free retreats, nature immersion, and creative arts camps—</w:t>
      </w:r>
      <w:proofErr w:type="spellStart"/>
      <w:r>
        <w:t>Phuket</w:t>
      </w:r>
      <w:proofErr w:type="spellEnd"/>
      <w:r>
        <w:t xml:space="preserve"> can rebrand itself as a restorative </w:t>
      </w:r>
      <w:r>
        <w:lastRenderedPageBreak/>
        <w:t>destination (</w:t>
      </w:r>
      <w:proofErr w:type="spellStart"/>
      <w:r>
        <w:t>Gössling</w:t>
      </w:r>
      <w:proofErr w:type="spellEnd"/>
      <w:r>
        <w:t xml:space="preserve"> &amp; Hall, 2006). Marketing strategies can leverage minimalist aesthetics, quietude, and </w:t>
      </w:r>
      <w:proofErr w:type="spellStart"/>
      <w:r>
        <w:t>curated</w:t>
      </w:r>
      <w:proofErr w:type="spellEnd"/>
      <w:r>
        <w:t xml:space="preserve"> slowness—further distinguishing </w:t>
      </w:r>
      <w:proofErr w:type="spellStart"/>
      <w:r>
        <w:t>Phuket</w:t>
      </w:r>
      <w:proofErr w:type="spellEnd"/>
      <w:r>
        <w:t xml:space="preserve"> from its high-intensity competitors. Promoting this new identity requires multi-channel digital storytelling and strategic influencer partnerships that resonate with well-being and balance.</w:t>
      </w:r>
    </w:p>
    <w:p w:rsidR="009A412F" w:rsidRDefault="009A412F" w:rsidP="009A412F"/>
    <w:p w:rsidR="009A412F" w:rsidRDefault="009A412F" w:rsidP="009A412F">
      <w:pPr>
        <w:pStyle w:val="Heading4"/>
      </w:pPr>
      <w:r>
        <w:rPr>
          <w:rStyle w:val="Strong"/>
          <w:b/>
          <w:bCs/>
        </w:rPr>
        <w:t>6.2.2 Smart Eco-Zoning and Capacity Control</w:t>
      </w:r>
    </w:p>
    <w:p w:rsidR="009A412F" w:rsidRDefault="009A412F" w:rsidP="009A412F">
      <w:pPr>
        <w:pStyle w:val="NormalWeb"/>
      </w:pPr>
      <w:r>
        <w:t xml:space="preserve">Ecological preservation must be the bedrock of </w:t>
      </w:r>
      <w:proofErr w:type="spellStart"/>
      <w:r>
        <w:t>Phuket’s</w:t>
      </w:r>
      <w:proofErr w:type="spellEnd"/>
      <w:r>
        <w:t xml:space="preserve"> reinvention, especially considering the degradation seen in areas like </w:t>
      </w:r>
      <w:proofErr w:type="spellStart"/>
      <w:r>
        <w:t>Patong</w:t>
      </w:r>
      <w:proofErr w:type="spellEnd"/>
      <w:r>
        <w:t xml:space="preserve"> Beach and Phi </w:t>
      </w:r>
      <w:proofErr w:type="spellStart"/>
      <w:r>
        <w:t>Phi</w:t>
      </w:r>
      <w:proofErr w:type="spellEnd"/>
      <w:r>
        <w:t xml:space="preserve"> Islands. The introduction of smart eco-zoning policies, grounded in carrying capacity analysis, can help distribute tourist load more evenly and protect vulnerable ecosystems (</w:t>
      </w:r>
      <w:proofErr w:type="spellStart"/>
      <w:r>
        <w:t>Gössling</w:t>
      </w:r>
      <w:proofErr w:type="spellEnd"/>
      <w:r>
        <w:t xml:space="preserve"> et al., 2008). Access to high-traffic beaches should be regulated through digital permits, enabling real-time management of visitor flows while supporting conservation finance models. These permits can be linked to mobile apps that track entry, offer sustainability tips, and provide dynamic feedback on crowd density.</w:t>
      </w:r>
    </w:p>
    <w:p w:rsidR="009A412F" w:rsidRDefault="009A412F" w:rsidP="009A412F">
      <w:pPr>
        <w:pStyle w:val="NormalWeb"/>
      </w:pPr>
      <w:r>
        <w:t xml:space="preserve">Rehabilitating degraded zones is equally critical. Coral restoration, mangrove replanting, and wetland regeneration should be made central to </w:t>
      </w:r>
      <w:proofErr w:type="spellStart"/>
      <w:r>
        <w:t>Phuket’s</w:t>
      </w:r>
      <w:proofErr w:type="spellEnd"/>
      <w:r>
        <w:t xml:space="preserve"> eco-recovery blueprint. The island could partner with universities and marine science NGOs to create marine protected areas (MPAs), enhancing biodiversity and positioning </w:t>
      </w:r>
      <w:proofErr w:type="spellStart"/>
      <w:r>
        <w:t>Phuket</w:t>
      </w:r>
      <w:proofErr w:type="spellEnd"/>
      <w:r>
        <w:t xml:space="preserve"> as a leader in ocean stewardship (UNEP, 2020). Rehabilitation programs can also be developed into volunteer tourism packages, providing hands-on sustainability experiences while reducing labor and costs.</w:t>
      </w:r>
    </w:p>
    <w:p w:rsidR="009A412F" w:rsidRDefault="009A412F" w:rsidP="009A412F">
      <w:pPr>
        <w:pStyle w:val="NormalWeb"/>
      </w:pPr>
      <w:r>
        <w:t>Diving tourism presents both risk and opportunity. By promoting ethical diving practices—such as anchor-free policies, reef etiquette, and dive site rotation—</w:t>
      </w:r>
      <w:proofErr w:type="spellStart"/>
      <w:r>
        <w:t>Phuket</w:t>
      </w:r>
      <w:proofErr w:type="spellEnd"/>
      <w:r>
        <w:t xml:space="preserve"> can preserve its underwater assets while sustaining its diving industry (</w:t>
      </w:r>
      <w:proofErr w:type="spellStart"/>
      <w:r>
        <w:t>Dodds</w:t>
      </w:r>
      <w:proofErr w:type="spellEnd"/>
      <w:r>
        <w:t xml:space="preserve"> &amp; Butler, 2010). Smart capacity control, including timed dive slots and eco-certification for operators, can prevent reef overcrowding. This dual strategy—preservation and responsible access—allows nature to recover while continuing to deliver economic returns.</w:t>
      </w:r>
    </w:p>
    <w:p w:rsidR="009A412F" w:rsidRDefault="009A412F" w:rsidP="009A412F"/>
    <w:p w:rsidR="009A412F" w:rsidRDefault="009A412F" w:rsidP="009A412F">
      <w:pPr>
        <w:pStyle w:val="Heading4"/>
      </w:pPr>
      <w:r>
        <w:rPr>
          <w:rStyle w:val="Strong"/>
          <w:b/>
          <w:bCs/>
        </w:rPr>
        <w:t>6.2.3 Rebranding: “</w:t>
      </w:r>
      <w:proofErr w:type="spellStart"/>
      <w:r>
        <w:rPr>
          <w:rStyle w:val="Strong"/>
          <w:b/>
          <w:bCs/>
        </w:rPr>
        <w:t>Phuket</w:t>
      </w:r>
      <w:proofErr w:type="spellEnd"/>
      <w:r>
        <w:rPr>
          <w:rStyle w:val="Strong"/>
          <w:b/>
          <w:bCs/>
        </w:rPr>
        <w:t xml:space="preserve"> Reawakens”</w:t>
      </w:r>
    </w:p>
    <w:p w:rsidR="009A412F" w:rsidRDefault="009A412F" w:rsidP="009A412F">
      <w:pPr>
        <w:pStyle w:val="NormalWeb"/>
      </w:pPr>
      <w:r>
        <w:t xml:space="preserve">Rebranding </w:t>
      </w:r>
      <w:proofErr w:type="spellStart"/>
      <w:r>
        <w:t>Phuket</w:t>
      </w:r>
      <w:proofErr w:type="spellEnd"/>
      <w:r>
        <w:t xml:space="preserve"> from “party paradise” to “</w:t>
      </w:r>
      <w:proofErr w:type="gramStart"/>
      <w:r>
        <w:t>mindful</w:t>
      </w:r>
      <w:proofErr w:type="gramEnd"/>
      <w:r>
        <w:t xml:space="preserve"> island” requires more than just a slogan—it demands a deep narrative shift. The "</w:t>
      </w:r>
      <w:proofErr w:type="spellStart"/>
      <w:r>
        <w:t>Phuket</w:t>
      </w:r>
      <w:proofErr w:type="spellEnd"/>
      <w:r>
        <w:t xml:space="preserve"> Reawakens" campaign should present the island as a place of healing, reflection, and authenticity. This new identity should celebrate the cultural roots of </w:t>
      </w:r>
      <w:proofErr w:type="spellStart"/>
      <w:r>
        <w:t>Phuket</w:t>
      </w:r>
      <w:proofErr w:type="spellEnd"/>
      <w:r>
        <w:t>: Sino-Portuguese architecture, Buddhist spirituality, and maritime heritage. Destination storytelling should highlight experiences like local festivals, food rituals, and traditional crafts that are rooted in the island’s soul, not its commercial facade (Morgan et al., 2003).</w:t>
      </w:r>
    </w:p>
    <w:p w:rsidR="009A412F" w:rsidRDefault="009A412F" w:rsidP="009A412F">
      <w:pPr>
        <w:pStyle w:val="NormalWeb"/>
      </w:pPr>
      <w:r>
        <w:t xml:space="preserve">Multi-day itineraries can be designed to integrate nature, culture, and community across rural districts, thus decentralizing tourism from congested nodes. This includes hiking in </w:t>
      </w:r>
      <w:proofErr w:type="spellStart"/>
      <w:r>
        <w:t>Kathu’s</w:t>
      </w:r>
      <w:proofErr w:type="spellEnd"/>
      <w:r>
        <w:t xml:space="preserve"> rainforests, exploring heritage towns like </w:t>
      </w:r>
      <w:proofErr w:type="spellStart"/>
      <w:r>
        <w:t>Thalang</w:t>
      </w:r>
      <w:proofErr w:type="spellEnd"/>
      <w:r>
        <w:t xml:space="preserve">, and participating in rural wellness programs. These journeys offer emotional depth and cognitive stimulation, attracting a new segment of </w:t>
      </w:r>
      <w:r>
        <w:lastRenderedPageBreak/>
        <w:t>culturally curious, socially responsible travelers (Pike &amp; Page, 2014). Promoting such itineraries also lengthens visitor stay, increasing local spend and reducing daily pressure on popular attractions.</w:t>
      </w:r>
    </w:p>
    <w:p w:rsidR="009A412F" w:rsidRDefault="009A412F" w:rsidP="009A412F">
      <w:pPr>
        <w:pStyle w:val="NormalWeb"/>
      </w:pPr>
      <w:r>
        <w:t>Strategic branding content should be disseminated across airports, tourism websites, social media platforms, and even virtual reality previews. Immersive media—featuring slow-motion sequences, ambient music, and thoughtful narratives—can convey the island’s transition from chaos to calm (</w:t>
      </w:r>
      <w:proofErr w:type="spellStart"/>
      <w:r>
        <w:t>Suwan</w:t>
      </w:r>
      <w:proofErr w:type="spellEnd"/>
      <w:r>
        <w:t xml:space="preserve"> &amp; Hall, 2022). Collaborations with wellness influencers, ecotourism bloggers, and ethical travel platforms will be </w:t>
      </w:r>
      <w:proofErr w:type="gramStart"/>
      <w:r>
        <w:t>key</w:t>
      </w:r>
      <w:proofErr w:type="gramEnd"/>
      <w:r>
        <w:t xml:space="preserve"> to reaching the right audiences. The rebranding must feel </w:t>
      </w:r>
      <w:proofErr w:type="spellStart"/>
      <w:r>
        <w:t>aspirational</w:t>
      </w:r>
      <w:proofErr w:type="spellEnd"/>
      <w:r>
        <w:t xml:space="preserve"> yet grounded, inclusive yet niche.</w:t>
      </w:r>
    </w:p>
    <w:p w:rsidR="009A412F" w:rsidRDefault="009A412F" w:rsidP="009A412F"/>
    <w:p w:rsidR="009A412F" w:rsidRDefault="009A412F" w:rsidP="009A412F">
      <w:pPr>
        <w:pStyle w:val="Heading4"/>
      </w:pPr>
      <w:r>
        <w:rPr>
          <w:rStyle w:val="Strong"/>
          <w:b/>
          <w:bCs/>
        </w:rPr>
        <w:t xml:space="preserve">6.2.4 Empowering Locals </w:t>
      </w:r>
      <w:proofErr w:type="gramStart"/>
      <w:r>
        <w:rPr>
          <w:rStyle w:val="Strong"/>
          <w:b/>
          <w:bCs/>
        </w:rPr>
        <w:t>Through</w:t>
      </w:r>
      <w:proofErr w:type="gramEnd"/>
      <w:r>
        <w:rPr>
          <w:rStyle w:val="Strong"/>
          <w:b/>
          <w:bCs/>
        </w:rPr>
        <w:t xml:space="preserve"> CBT</w:t>
      </w:r>
    </w:p>
    <w:p w:rsidR="009A412F" w:rsidRDefault="009A412F" w:rsidP="009A412F">
      <w:pPr>
        <w:pStyle w:val="NormalWeb"/>
      </w:pPr>
      <w:r>
        <w:t xml:space="preserve">Community-Based Tourism (CBT) plays a vital role in redistributing tourism’s benefits and embedding sustainability at the grassroots level. </w:t>
      </w:r>
      <w:proofErr w:type="spellStart"/>
      <w:r>
        <w:t>Phuket’s</w:t>
      </w:r>
      <w:proofErr w:type="spellEnd"/>
      <w:r>
        <w:t xml:space="preserve"> inland villages, often overlooked in mainstream tourism circuits, hold immense potential for CBT. Rural </w:t>
      </w:r>
      <w:proofErr w:type="spellStart"/>
      <w:r>
        <w:t>homestays</w:t>
      </w:r>
      <w:proofErr w:type="spellEnd"/>
      <w:r>
        <w:t xml:space="preserve"> that integrate farm-to-table meals, herbal garden tours, and craft workshops can serve as anchors for immersive, low-impact travel experiences (</w:t>
      </w:r>
      <w:proofErr w:type="spellStart"/>
      <w:r>
        <w:t>Kontogeorgopoulos</w:t>
      </w:r>
      <w:proofErr w:type="spellEnd"/>
      <w:r>
        <w:t xml:space="preserve"> et al., 2014). These experiences allow tourists to understand Thai life beyond beaches while generating income for smallholder farmers and artisans.</w:t>
      </w:r>
    </w:p>
    <w:p w:rsidR="009A412F" w:rsidRDefault="009A412F" w:rsidP="009A412F">
      <w:pPr>
        <w:pStyle w:val="NormalWeb"/>
      </w:pPr>
      <w:r>
        <w:t>Youth entrepreneurship in tourism is essential for long-term innovation and employment resilience. By establishing tourism incubators focused on green business models—such as eco-tour guiding, sustainable catering, or ethical souvenirs—the island can nurture the next generation of community leaders (Cohen, 2011). These incubators can be supported by government micro-financing, NGO mentorship, and partnerships with academic institutions offering tourism or business training.</w:t>
      </w:r>
    </w:p>
    <w:p w:rsidR="009A412F" w:rsidRDefault="009A412F" w:rsidP="009A412F">
      <w:pPr>
        <w:pStyle w:val="NormalWeb"/>
      </w:pPr>
      <w:r>
        <w:t xml:space="preserve">Digital literacy programs must accompany these initiatives. Many locals lack access to the skills or platforms required to market their experiences online. Government-run digital marketing </w:t>
      </w:r>
      <w:proofErr w:type="spellStart"/>
      <w:r>
        <w:t>bootcamps</w:t>
      </w:r>
      <w:proofErr w:type="spellEnd"/>
      <w:r>
        <w:t xml:space="preserve"> can train residents to use platforms like </w:t>
      </w:r>
      <w:proofErr w:type="spellStart"/>
      <w:r>
        <w:t>Airbnb</w:t>
      </w:r>
      <w:proofErr w:type="spellEnd"/>
      <w:r>
        <w:t xml:space="preserve">, </w:t>
      </w:r>
      <w:proofErr w:type="spellStart"/>
      <w:r>
        <w:t>Instagram</w:t>
      </w:r>
      <w:proofErr w:type="spellEnd"/>
      <w:r>
        <w:t>, and Google Maps effectively. These efforts democratize access to the tourism economy, reduce dependence on intermediaries, and enhance community pride in cultural heritage (UNESCAP, 2021).</w:t>
      </w:r>
    </w:p>
    <w:p w:rsidR="009A412F" w:rsidRDefault="009A412F" w:rsidP="009A412F"/>
    <w:p w:rsidR="009A412F" w:rsidRDefault="009A412F" w:rsidP="009A412F">
      <w:pPr>
        <w:pStyle w:val="Heading4"/>
      </w:pPr>
      <w:r>
        <w:rPr>
          <w:rStyle w:val="Strong"/>
          <w:b/>
          <w:bCs/>
        </w:rPr>
        <w:t>6.2.5 Climate Adaptation Measures</w:t>
      </w:r>
    </w:p>
    <w:p w:rsidR="009A412F" w:rsidRDefault="009A412F" w:rsidP="009A412F">
      <w:pPr>
        <w:pStyle w:val="NormalWeb"/>
      </w:pPr>
      <w:r>
        <w:t xml:space="preserve">Climate adaptation is non-negotiable for </w:t>
      </w:r>
      <w:proofErr w:type="spellStart"/>
      <w:r>
        <w:t>Phuket’s</w:t>
      </w:r>
      <w:proofErr w:type="spellEnd"/>
      <w:r>
        <w:t xml:space="preserve"> future. The island faces increasing threats from rising sea levels, coastal erosion, and intensified monsoons. Enforcing coastal construction buffer zones—limiting new development within designated distances from the high tide line—can prevent erosion and reduce property damage during storm surges (</w:t>
      </w:r>
      <w:proofErr w:type="spellStart"/>
      <w:r>
        <w:t>Gössling</w:t>
      </w:r>
      <w:proofErr w:type="spellEnd"/>
      <w:r>
        <w:t xml:space="preserve"> &amp; Hall, 2006). These buffer zones can also be turned into green belts or eco-corridors that enhance biodiversity and improve tourist aesthetics.</w:t>
      </w:r>
    </w:p>
    <w:p w:rsidR="009A412F" w:rsidRDefault="009A412F" w:rsidP="009A412F">
      <w:pPr>
        <w:pStyle w:val="NormalWeb"/>
      </w:pPr>
      <w:r>
        <w:lastRenderedPageBreak/>
        <w:t xml:space="preserve">Drainage infrastructure must be upgraded to handle heavier rainfall patterns exacerbated by climate change. Flooding in </w:t>
      </w:r>
      <w:proofErr w:type="spellStart"/>
      <w:r>
        <w:t>Phuket</w:t>
      </w:r>
      <w:proofErr w:type="spellEnd"/>
      <w:r>
        <w:t xml:space="preserve"> Town and </w:t>
      </w:r>
      <w:proofErr w:type="spellStart"/>
      <w:r>
        <w:t>Patong</w:t>
      </w:r>
      <w:proofErr w:type="spellEnd"/>
      <w:r>
        <w:t xml:space="preserve"> has become more frequent, damaging both infrastructure and livelihoods. Climate-proof drainage systems—using permeable surfaces, retention ponds, and smart sensors—can improve resilience while also supporting environmental goals (UNEP, 2020). Integrating green infrastructure into tourism planning, such as green roofs, solar energy systems, and sustainable waste management, reinforces the island’s sustainability credentials.</w:t>
      </w:r>
    </w:p>
    <w:p w:rsidR="009A412F" w:rsidRDefault="009A412F" w:rsidP="009A412F">
      <w:pPr>
        <w:pStyle w:val="NormalWeb"/>
      </w:pPr>
      <w:r>
        <w:t xml:space="preserve">To encourage adoption, the government can offer green retrofitting subsidies to resorts, hostels, and tour operators who meet certain environmental criteria. These subsidies reduce upfront costs while rewarding eco-innovation. Certification schemes that link tax breaks to sustainability benchmarks can accelerate the private sector's shift toward climate-conscious business models. These measures not only mitigate future risks but also strengthen </w:t>
      </w:r>
      <w:proofErr w:type="spellStart"/>
      <w:r>
        <w:t>Phuket’s</w:t>
      </w:r>
      <w:proofErr w:type="spellEnd"/>
      <w:r>
        <w:t xml:space="preserve"> competitive edge in an increasingly eco-aware global tourism market.</w:t>
      </w:r>
    </w:p>
    <w:p w:rsidR="009A412F" w:rsidRDefault="009A412F" w:rsidP="009A412F"/>
    <w:p w:rsidR="009A412F" w:rsidRDefault="009A412F" w:rsidP="009A412F">
      <w:pPr>
        <w:pStyle w:val="Heading2"/>
      </w:pPr>
      <w:r>
        <w:rPr>
          <w:rStyle w:val="Strong"/>
          <w:b/>
          <w:bCs/>
        </w:rPr>
        <w:t>7. Conclusion</w:t>
      </w:r>
    </w:p>
    <w:p w:rsidR="009A412F" w:rsidRDefault="009A412F" w:rsidP="009A412F">
      <w:pPr>
        <w:pStyle w:val="NormalWeb"/>
      </w:pPr>
      <w:proofErr w:type="spellStart"/>
      <w:r>
        <w:t>Phuket’s</w:t>
      </w:r>
      <w:proofErr w:type="spellEnd"/>
      <w:r>
        <w:t xml:space="preserve"> tourism stagnation, long in the making, reached a critical point during the COVID-19 pandemic. The abrupt halt in global travel exposed the island’s structural overdependence on international tourism and its insufficient preparedness for external shocks. Yet this disruption also provides a pivotal opportunity to pause, reflect, and reinvent </w:t>
      </w:r>
      <w:proofErr w:type="spellStart"/>
      <w:r>
        <w:t>Phuket’s</w:t>
      </w:r>
      <w:proofErr w:type="spellEnd"/>
      <w:r>
        <w:t xml:space="preserve"> identity in a way that prioritizes sustainability, well-being, and community resilience. The lessons of the crisis are clear: quantity-driven tourism models are not only unsustainable but increasingly undesirable in a world where conscious consumption and climate ethics are reshaping traveler behavior.</w:t>
      </w:r>
    </w:p>
    <w:p w:rsidR="009A412F" w:rsidRDefault="009A412F" w:rsidP="009A412F">
      <w:pPr>
        <w:pStyle w:val="NormalWeb"/>
      </w:pPr>
      <w:r>
        <w:t xml:space="preserve">In charting a new course, </w:t>
      </w:r>
      <w:proofErr w:type="spellStart"/>
      <w:r>
        <w:t>Phuket</w:t>
      </w:r>
      <w:proofErr w:type="spellEnd"/>
      <w:r>
        <w:t xml:space="preserve"> must embrace a wellness-centered development philosophy that taps into its cultural richness and natural beauty. Wellness tourism is no longer a niche—it is a global movement that aligns well with </w:t>
      </w:r>
      <w:proofErr w:type="spellStart"/>
      <w:r>
        <w:t>Phuket’s</w:t>
      </w:r>
      <w:proofErr w:type="spellEnd"/>
      <w:r>
        <w:t xml:space="preserve"> capabilities in traditional healing, spiritual hospitality, and nature immersion. By positioning itself as a sanctuary for rejuvenation rather than revelry, the island can move away from volume dependency and toward value generation. This transition will also enhance its environmental sustainability, as wellness tourists typically stay longer, travel less frequently, and consume more ethically.</w:t>
      </w:r>
    </w:p>
    <w:p w:rsidR="009A412F" w:rsidRDefault="009A412F" w:rsidP="009A412F">
      <w:pPr>
        <w:pStyle w:val="NormalWeb"/>
      </w:pPr>
      <w:r>
        <w:t xml:space="preserve">Community participation must sit at the heart of this reinvention. For too long, local voices in </w:t>
      </w:r>
      <w:proofErr w:type="spellStart"/>
      <w:r>
        <w:t>Phuket</w:t>
      </w:r>
      <w:proofErr w:type="spellEnd"/>
      <w:r>
        <w:t xml:space="preserve"> have been sidelined by elite developers and mass tourism operators. Community-based tourism models, when properly supported, can transform local residents from passive hosts into empowered co-creators of the tourism experience. This democratization ensures that tourism income is more equitably distributed, while also safeguarding cultural heritage from </w:t>
      </w:r>
      <w:proofErr w:type="spellStart"/>
      <w:r>
        <w:t>commodification</w:t>
      </w:r>
      <w:proofErr w:type="spellEnd"/>
      <w:r>
        <w:t>. Youth-focused entrepreneurship programs can help sustain this movement by embedding innovation and leadership within future generations.</w:t>
      </w:r>
    </w:p>
    <w:p w:rsidR="009A412F" w:rsidRDefault="009A412F" w:rsidP="009A412F">
      <w:pPr>
        <w:pStyle w:val="NormalWeb"/>
      </w:pPr>
      <w:r>
        <w:t xml:space="preserve">The environmental stakes are equally high. Without swift and science-based ecological reforms, </w:t>
      </w:r>
      <w:proofErr w:type="spellStart"/>
      <w:r>
        <w:t>Phuket’s</w:t>
      </w:r>
      <w:proofErr w:type="spellEnd"/>
      <w:r>
        <w:t xml:space="preserve"> beaches, coral reefs, and inland forests risk irreversible degradation. Smart eco-zoning, digital </w:t>
      </w:r>
      <w:proofErr w:type="gramStart"/>
      <w:r>
        <w:t>permits,</w:t>
      </w:r>
      <w:proofErr w:type="gramEnd"/>
      <w:r>
        <w:t xml:space="preserve"> and conservation-linked tourism taxes are practical tools to prevent further </w:t>
      </w:r>
      <w:r>
        <w:lastRenderedPageBreak/>
        <w:t xml:space="preserve">damage. Equally important is the restoration of already damaged ecosystems, particularly in high-traffic areas like </w:t>
      </w:r>
      <w:proofErr w:type="spellStart"/>
      <w:r>
        <w:t>Patong</w:t>
      </w:r>
      <w:proofErr w:type="spellEnd"/>
      <w:r>
        <w:t xml:space="preserve"> and Phi </w:t>
      </w:r>
      <w:proofErr w:type="spellStart"/>
      <w:r>
        <w:t>Phi</w:t>
      </w:r>
      <w:proofErr w:type="spellEnd"/>
      <w:r>
        <w:t>. Marine protected areas and sustainable dive practices must become the norm rather than the exception.</w:t>
      </w:r>
    </w:p>
    <w:p w:rsidR="009A412F" w:rsidRDefault="009A412F" w:rsidP="009A412F">
      <w:pPr>
        <w:pStyle w:val="NormalWeb"/>
      </w:pPr>
      <w:proofErr w:type="spellStart"/>
      <w:r>
        <w:t>Phuket’s</w:t>
      </w:r>
      <w:proofErr w:type="spellEnd"/>
      <w:r>
        <w:t xml:space="preserve"> branding must also evolve. The island must move beyond shallow slogans and instead tell stories that resonate with travelers seeking authenticity, depth, and transformation. “</w:t>
      </w:r>
      <w:proofErr w:type="spellStart"/>
      <w:r>
        <w:t>Phuket</w:t>
      </w:r>
      <w:proofErr w:type="spellEnd"/>
      <w:r>
        <w:t xml:space="preserve"> Reawakens” should not be a marketing campaign alone—it should be a philosophy that guides tourism planning, community engagement, and destination management. This narrative must be communicated through immersive content, emotional storytelling, and inclusive representation that gives voice to local communities and natural ecosystems.</w:t>
      </w:r>
    </w:p>
    <w:p w:rsidR="009A412F" w:rsidRDefault="009A412F" w:rsidP="009A412F">
      <w:pPr>
        <w:pStyle w:val="NormalWeb"/>
      </w:pPr>
      <w:r>
        <w:t xml:space="preserve">The reinvention must be backed by robust policy frameworks and inter-agency coordination. Piecemeal reforms will not suffice. </w:t>
      </w:r>
      <w:proofErr w:type="spellStart"/>
      <w:r>
        <w:t>Phuket</w:t>
      </w:r>
      <w:proofErr w:type="spellEnd"/>
      <w:r>
        <w:t xml:space="preserve"> needs a master plan rooted in sustainability science, adaptive governance, and participatory decision-making. Public-private partnerships, international knowledge exchange, and capacity-building at the local level must all converge to ensure coherent implementation. Without this systemic alignment, even the most visionary strategies will falter.</w:t>
      </w:r>
    </w:p>
    <w:p w:rsidR="009A412F" w:rsidRDefault="009A412F" w:rsidP="009A412F">
      <w:pPr>
        <w:pStyle w:val="NormalWeb"/>
      </w:pPr>
      <w:r>
        <w:t>Crucially, climate adaptation cannot be postponed. Coastal construction regulations, infrastructure retrofitting, and green incentives must become standard practice. The island must prepare for more volatile weather patterns, water scarcity, and sea-level rise. These measures are not merely environmental—they are economic imperatives that protect tourism assets and public safety. Long-term investment in climate resilience will pay dividends in tourist trust and brand stability.</w:t>
      </w:r>
    </w:p>
    <w:p w:rsidR="009A412F" w:rsidRDefault="009A412F" w:rsidP="009A412F">
      <w:pPr>
        <w:pStyle w:val="NormalWeb"/>
      </w:pPr>
      <w:proofErr w:type="spellStart"/>
      <w:r>
        <w:t>Phuket’s</w:t>
      </w:r>
      <w:proofErr w:type="spellEnd"/>
      <w:r>
        <w:t xml:space="preserve"> reinvention is not a return to “normal”—it is a leap forward to a more ethical, equitable, and ecologically integrated tourism model. This new model must be iterative, evidence-based, and deeply attuned to both global trends and local realities. In doing so, </w:t>
      </w:r>
      <w:proofErr w:type="spellStart"/>
      <w:r>
        <w:t>Phuket</w:t>
      </w:r>
      <w:proofErr w:type="spellEnd"/>
      <w:r>
        <w:t xml:space="preserve"> can emerge as a pioneering example of regenerative island tourism—not just in Southeast Asia, but globally.</w:t>
      </w:r>
    </w:p>
    <w:p w:rsidR="009A412F" w:rsidRDefault="009A412F" w:rsidP="009A412F">
      <w:pPr>
        <w:pStyle w:val="NormalWeb"/>
      </w:pPr>
      <w:r>
        <w:t xml:space="preserve">The road ahead is undoubtedly complex. However, with political will, community involvement, and sustained investment in sustainable infrastructure, </w:t>
      </w:r>
      <w:proofErr w:type="spellStart"/>
      <w:r>
        <w:t>Phuket</w:t>
      </w:r>
      <w:proofErr w:type="spellEnd"/>
      <w:r>
        <w:t xml:space="preserve"> can thrive once more—not as a playground for transient tourists, but as a resilient community offering healing, connection, and beauty. Let this moment of crisis become a catalyst for conscious rebirth—one that rewrites not just </w:t>
      </w:r>
      <w:proofErr w:type="spellStart"/>
      <w:r>
        <w:t>Phuket’s</w:t>
      </w:r>
      <w:proofErr w:type="spellEnd"/>
      <w:r>
        <w:t xml:space="preserve"> tourism playbook, but its legacy.</w:t>
      </w:r>
    </w:p>
    <w:p w:rsidR="009A412F" w:rsidRDefault="009A412F" w:rsidP="009A412F"/>
    <w:p w:rsidR="009A412F" w:rsidRDefault="009A412F" w:rsidP="009A412F">
      <w:pPr>
        <w:pStyle w:val="Heading2"/>
      </w:pPr>
      <w:r>
        <w:rPr>
          <w:rStyle w:val="Strong"/>
          <w:b/>
          <w:bCs/>
        </w:rPr>
        <w:t>References</w:t>
      </w:r>
    </w:p>
    <w:p w:rsidR="009A412F" w:rsidRDefault="009A412F" w:rsidP="009A412F">
      <w:pPr>
        <w:pStyle w:val="NormalWeb"/>
        <w:numPr>
          <w:ilvl w:val="0"/>
          <w:numId w:val="33"/>
        </w:numPr>
      </w:pPr>
      <w:proofErr w:type="spellStart"/>
      <w:r>
        <w:t>Agarwal</w:t>
      </w:r>
      <w:proofErr w:type="spellEnd"/>
      <w:r>
        <w:t xml:space="preserve">, S. (2002). Restructuring seaside tourism: The resort life cycle. </w:t>
      </w:r>
      <w:r>
        <w:rPr>
          <w:rStyle w:val="Emphasis"/>
        </w:rPr>
        <w:t>Annals of Tourism Research</w:t>
      </w:r>
      <w:r>
        <w:t>, 29(1), 25–55.</w:t>
      </w:r>
    </w:p>
    <w:p w:rsidR="009A412F" w:rsidRDefault="009A412F" w:rsidP="009A412F">
      <w:pPr>
        <w:pStyle w:val="NormalWeb"/>
        <w:numPr>
          <w:ilvl w:val="0"/>
          <w:numId w:val="33"/>
        </w:numPr>
      </w:pPr>
      <w:r>
        <w:t xml:space="preserve">Butler, R. W. (1980). The concept of a tourist area cycle of evolution. </w:t>
      </w:r>
      <w:r>
        <w:rPr>
          <w:rStyle w:val="Emphasis"/>
        </w:rPr>
        <w:t>Canadian Geographer</w:t>
      </w:r>
      <w:r>
        <w:t>, 24(1), 5–12.</w:t>
      </w:r>
    </w:p>
    <w:p w:rsidR="009A412F" w:rsidRDefault="009A412F" w:rsidP="009A412F">
      <w:pPr>
        <w:pStyle w:val="NormalWeb"/>
        <w:numPr>
          <w:ilvl w:val="0"/>
          <w:numId w:val="33"/>
        </w:numPr>
      </w:pPr>
      <w:r>
        <w:t xml:space="preserve">Cohen, E. (2011). Tourism and land use in </w:t>
      </w:r>
      <w:proofErr w:type="spellStart"/>
      <w:r>
        <w:t>Phuket</w:t>
      </w:r>
      <w:proofErr w:type="spellEnd"/>
      <w:r>
        <w:t xml:space="preserve">. </w:t>
      </w:r>
      <w:r>
        <w:rPr>
          <w:rStyle w:val="Emphasis"/>
        </w:rPr>
        <w:t>Tourism Geographies</w:t>
      </w:r>
      <w:r>
        <w:t>, 13(3), 367–386.</w:t>
      </w:r>
    </w:p>
    <w:p w:rsidR="009A412F" w:rsidRDefault="009A412F" w:rsidP="009A412F">
      <w:pPr>
        <w:pStyle w:val="NormalWeb"/>
        <w:numPr>
          <w:ilvl w:val="0"/>
          <w:numId w:val="33"/>
        </w:numPr>
      </w:pPr>
      <w:proofErr w:type="spellStart"/>
      <w:r>
        <w:lastRenderedPageBreak/>
        <w:t>Dodds</w:t>
      </w:r>
      <w:proofErr w:type="spellEnd"/>
      <w:r>
        <w:t xml:space="preserve">, R., &amp; Butler, R. (2010). Barriers to implementing sustainable tourism policy in mass tourism destinations. </w:t>
      </w:r>
      <w:r>
        <w:rPr>
          <w:rStyle w:val="Emphasis"/>
        </w:rPr>
        <w:t>Tourism Review</w:t>
      </w:r>
      <w:r>
        <w:t>, 65(4), 37–48.</w:t>
      </w:r>
    </w:p>
    <w:p w:rsidR="009A412F" w:rsidRDefault="009A412F" w:rsidP="009A412F">
      <w:pPr>
        <w:pStyle w:val="NormalWeb"/>
        <w:numPr>
          <w:ilvl w:val="0"/>
          <w:numId w:val="33"/>
        </w:numPr>
      </w:pPr>
      <w:proofErr w:type="spellStart"/>
      <w:r>
        <w:t>Gössling</w:t>
      </w:r>
      <w:proofErr w:type="spellEnd"/>
      <w:r>
        <w:t xml:space="preserve">, S., Hall, C. M., &amp; Weaver, D. (2008). </w:t>
      </w:r>
      <w:r>
        <w:rPr>
          <w:rStyle w:val="Emphasis"/>
        </w:rPr>
        <w:t>Sustainable Tourism Futures: Perspectives on Systems, Restructuring and Innovations</w:t>
      </w:r>
      <w:r>
        <w:t xml:space="preserve">. </w:t>
      </w:r>
      <w:proofErr w:type="spellStart"/>
      <w:r>
        <w:t>Routledge</w:t>
      </w:r>
      <w:proofErr w:type="spellEnd"/>
      <w:r>
        <w:t>.</w:t>
      </w:r>
    </w:p>
    <w:p w:rsidR="009A412F" w:rsidRDefault="009A412F" w:rsidP="009A412F">
      <w:pPr>
        <w:pStyle w:val="NormalWeb"/>
        <w:numPr>
          <w:ilvl w:val="0"/>
          <w:numId w:val="33"/>
        </w:numPr>
      </w:pPr>
      <w:proofErr w:type="spellStart"/>
      <w:r>
        <w:t>Gössling</w:t>
      </w:r>
      <w:proofErr w:type="spellEnd"/>
      <w:r>
        <w:t xml:space="preserve">, S., &amp; Hall, C. M. (2006). </w:t>
      </w:r>
      <w:r>
        <w:rPr>
          <w:rStyle w:val="Emphasis"/>
        </w:rPr>
        <w:t>Tourism and Global Environmental Change</w:t>
      </w:r>
      <w:r>
        <w:t xml:space="preserve">. </w:t>
      </w:r>
      <w:proofErr w:type="spellStart"/>
      <w:r>
        <w:t>Routledge</w:t>
      </w:r>
      <w:proofErr w:type="spellEnd"/>
      <w:r>
        <w:t>.</w:t>
      </w:r>
    </w:p>
    <w:p w:rsidR="009A412F" w:rsidRDefault="009A412F" w:rsidP="009A412F">
      <w:pPr>
        <w:pStyle w:val="NormalWeb"/>
        <w:numPr>
          <w:ilvl w:val="0"/>
          <w:numId w:val="33"/>
        </w:numPr>
      </w:pPr>
      <w:proofErr w:type="spellStart"/>
      <w:r>
        <w:t>Kontogeorgopoulos</w:t>
      </w:r>
      <w:proofErr w:type="spellEnd"/>
      <w:r>
        <w:t xml:space="preserve">, N., </w:t>
      </w:r>
      <w:proofErr w:type="spellStart"/>
      <w:r>
        <w:t>Churyen</w:t>
      </w:r>
      <w:proofErr w:type="spellEnd"/>
      <w:r>
        <w:t xml:space="preserve">, A., &amp; </w:t>
      </w:r>
      <w:proofErr w:type="spellStart"/>
      <w:r>
        <w:t>Duangsaeng</w:t>
      </w:r>
      <w:proofErr w:type="spellEnd"/>
      <w:r>
        <w:t xml:space="preserve">, V. (2014). Success factors in community-based tourism in Thailand. </w:t>
      </w:r>
      <w:r>
        <w:rPr>
          <w:rStyle w:val="Emphasis"/>
        </w:rPr>
        <w:t>Tourism Planning &amp; Development</w:t>
      </w:r>
      <w:r>
        <w:t>, 11(1), 106–124.</w:t>
      </w:r>
    </w:p>
    <w:p w:rsidR="009A412F" w:rsidRDefault="009A412F" w:rsidP="009A412F">
      <w:pPr>
        <w:pStyle w:val="NormalWeb"/>
        <w:numPr>
          <w:ilvl w:val="0"/>
          <w:numId w:val="33"/>
        </w:numPr>
      </w:pPr>
      <w:r>
        <w:t xml:space="preserve">Morgan, N., Pritchard, A., &amp; Pride, R. (2003). </w:t>
      </w:r>
      <w:r>
        <w:rPr>
          <w:rStyle w:val="Emphasis"/>
        </w:rPr>
        <w:t>Destination Branding: Creating the Unique Destination Proposition</w:t>
      </w:r>
      <w:r>
        <w:t>. Butterworth-Heinemann.</w:t>
      </w:r>
    </w:p>
    <w:p w:rsidR="009A412F" w:rsidRDefault="009A412F" w:rsidP="009A412F">
      <w:pPr>
        <w:pStyle w:val="NormalWeb"/>
        <w:numPr>
          <w:ilvl w:val="0"/>
          <w:numId w:val="33"/>
        </w:numPr>
      </w:pPr>
      <w:r>
        <w:t xml:space="preserve">Pike, S., &amp; Page, S. J. (2014). Destination Marketing Organizations and destination marketing: A narrative analysis. </w:t>
      </w:r>
      <w:r>
        <w:rPr>
          <w:rStyle w:val="Emphasis"/>
        </w:rPr>
        <w:t>Tourism Management</w:t>
      </w:r>
      <w:r>
        <w:t>, 41, 202–227.</w:t>
      </w:r>
    </w:p>
    <w:p w:rsidR="009A412F" w:rsidRDefault="009A412F" w:rsidP="009A412F">
      <w:pPr>
        <w:pStyle w:val="NormalWeb"/>
        <w:numPr>
          <w:ilvl w:val="0"/>
          <w:numId w:val="33"/>
        </w:numPr>
      </w:pPr>
      <w:proofErr w:type="spellStart"/>
      <w:r>
        <w:t>Suwan</w:t>
      </w:r>
      <w:proofErr w:type="spellEnd"/>
      <w:r>
        <w:t xml:space="preserve">, W., &amp; Hall, C. M. (2022). Mindfulness, digital </w:t>
      </w:r>
      <w:proofErr w:type="spellStart"/>
      <w:r>
        <w:t>detox</w:t>
      </w:r>
      <w:proofErr w:type="spellEnd"/>
      <w:r>
        <w:t xml:space="preserve"> and destination repositioning in Southeast Asia. </w:t>
      </w:r>
      <w:r>
        <w:rPr>
          <w:rStyle w:val="Emphasis"/>
        </w:rPr>
        <w:t>Journal of Destination Marketing &amp; Management</w:t>
      </w:r>
      <w:r>
        <w:t>, 23, 100690.</w:t>
      </w:r>
    </w:p>
    <w:p w:rsidR="009A412F" w:rsidRDefault="009A412F" w:rsidP="009A412F">
      <w:pPr>
        <w:pStyle w:val="NormalWeb"/>
        <w:numPr>
          <w:ilvl w:val="0"/>
          <w:numId w:val="33"/>
        </w:numPr>
      </w:pPr>
      <w:r>
        <w:t xml:space="preserve">UNEP. (2020). </w:t>
      </w:r>
      <w:r>
        <w:rPr>
          <w:rStyle w:val="Emphasis"/>
        </w:rPr>
        <w:t>Marine Protected Areas and Sustainable Coastal Tourism</w:t>
      </w:r>
      <w:r>
        <w:t xml:space="preserve">. United Nations Environment </w:t>
      </w:r>
      <w:proofErr w:type="spellStart"/>
      <w:r>
        <w:t>Programme</w:t>
      </w:r>
      <w:proofErr w:type="spellEnd"/>
      <w:r>
        <w:t>.</w:t>
      </w:r>
    </w:p>
    <w:p w:rsidR="009A412F" w:rsidRDefault="009A412F" w:rsidP="009A412F">
      <w:pPr>
        <w:pStyle w:val="NormalWeb"/>
        <w:numPr>
          <w:ilvl w:val="0"/>
          <w:numId w:val="33"/>
        </w:numPr>
      </w:pPr>
      <w:r>
        <w:t xml:space="preserve">UNESCAP. (2021). </w:t>
      </w:r>
      <w:r>
        <w:rPr>
          <w:rStyle w:val="Emphasis"/>
        </w:rPr>
        <w:t>Tourism in Asia-Pacific: Resilience, Recovery and New Pathways</w:t>
      </w:r>
      <w:r>
        <w:t>.</w:t>
      </w:r>
    </w:p>
    <w:p w:rsidR="00EF48E0" w:rsidRDefault="00EF48E0" w:rsidP="00EF48E0">
      <w:pPr>
        <w:pStyle w:val="NormalWeb"/>
        <w:numPr>
          <w:ilvl w:val="0"/>
          <w:numId w:val="31"/>
        </w:numPr>
      </w:pPr>
      <w:proofErr w:type="spellStart"/>
      <w:r>
        <w:t>Agarwal</w:t>
      </w:r>
      <w:proofErr w:type="spellEnd"/>
      <w:r>
        <w:t xml:space="preserve">, S. (2002). Restructuring Seaside Tourism: The Resort Lifecycle. </w:t>
      </w:r>
      <w:r>
        <w:rPr>
          <w:rStyle w:val="Emphasis"/>
        </w:rPr>
        <w:t>Annals of Tourism Research</w:t>
      </w:r>
      <w:r>
        <w:t>, 29(1), 25–55.</w:t>
      </w:r>
    </w:p>
    <w:p w:rsidR="00EF48E0" w:rsidRDefault="00EF48E0" w:rsidP="00EF48E0">
      <w:pPr>
        <w:pStyle w:val="NormalWeb"/>
        <w:numPr>
          <w:ilvl w:val="0"/>
          <w:numId w:val="31"/>
        </w:numPr>
      </w:pPr>
      <w:r>
        <w:t xml:space="preserve">Butler, R. (1980). The Concept of a Tourism Area Life Cycle of Evolution: Implications for Management of Resources. </w:t>
      </w:r>
      <w:r>
        <w:rPr>
          <w:rStyle w:val="Emphasis"/>
        </w:rPr>
        <w:t>Canadian Geographer</w:t>
      </w:r>
      <w:r>
        <w:t>, 24(1), 5–12.</w:t>
      </w:r>
    </w:p>
    <w:p w:rsidR="00EF48E0" w:rsidRDefault="00EF48E0" w:rsidP="00EF48E0">
      <w:pPr>
        <w:pStyle w:val="NormalWeb"/>
        <w:numPr>
          <w:ilvl w:val="0"/>
          <w:numId w:val="31"/>
        </w:numPr>
      </w:pPr>
      <w:r>
        <w:t xml:space="preserve">Cohen, E. (2011). Thai Tourism: From Crisis to Recovery. </w:t>
      </w:r>
      <w:r>
        <w:rPr>
          <w:rStyle w:val="Emphasis"/>
        </w:rPr>
        <w:t>Tourism Review International</w:t>
      </w:r>
      <w:r>
        <w:t>, 14(1), 69–82.</w:t>
      </w:r>
    </w:p>
    <w:p w:rsidR="00EF48E0" w:rsidRDefault="00EF48E0" w:rsidP="00EF48E0">
      <w:pPr>
        <w:pStyle w:val="NormalWeb"/>
        <w:numPr>
          <w:ilvl w:val="0"/>
          <w:numId w:val="31"/>
        </w:numPr>
      </w:pPr>
      <w:proofErr w:type="spellStart"/>
      <w:r>
        <w:t>Dodds</w:t>
      </w:r>
      <w:proofErr w:type="spellEnd"/>
      <w:r>
        <w:t xml:space="preserve">, R., &amp; Butler, R. (2010). Barriers to Implementing Sustainable Tourism Policy in Mass Tourism Destinations. </w:t>
      </w:r>
      <w:proofErr w:type="spellStart"/>
      <w:r>
        <w:rPr>
          <w:rStyle w:val="Emphasis"/>
        </w:rPr>
        <w:t>Tourismos</w:t>
      </w:r>
      <w:proofErr w:type="spellEnd"/>
      <w:r>
        <w:t>, 5(1), 35–53.</w:t>
      </w:r>
    </w:p>
    <w:p w:rsidR="00EF48E0" w:rsidRDefault="00EF48E0" w:rsidP="00EF48E0">
      <w:pPr>
        <w:pStyle w:val="NormalWeb"/>
        <w:numPr>
          <w:ilvl w:val="0"/>
          <w:numId w:val="31"/>
        </w:numPr>
      </w:pPr>
      <w:proofErr w:type="spellStart"/>
      <w:r>
        <w:t>Gössling</w:t>
      </w:r>
      <w:proofErr w:type="spellEnd"/>
      <w:r>
        <w:t xml:space="preserve">, S., Hall, C. M., &amp; Weaver, D. (2008). </w:t>
      </w:r>
      <w:r>
        <w:rPr>
          <w:rStyle w:val="Emphasis"/>
        </w:rPr>
        <w:t>Sustainable Tourism Futures</w:t>
      </w:r>
      <w:r>
        <w:t xml:space="preserve">. </w:t>
      </w:r>
      <w:proofErr w:type="spellStart"/>
      <w:r>
        <w:t>Routledge</w:t>
      </w:r>
      <w:proofErr w:type="spellEnd"/>
      <w:r>
        <w:t>.</w:t>
      </w:r>
    </w:p>
    <w:p w:rsidR="00EF48E0" w:rsidRDefault="00EF48E0" w:rsidP="00EF48E0">
      <w:pPr>
        <w:pStyle w:val="NormalWeb"/>
        <w:numPr>
          <w:ilvl w:val="0"/>
          <w:numId w:val="31"/>
        </w:numPr>
      </w:pPr>
      <w:proofErr w:type="spellStart"/>
      <w:r>
        <w:t>Kontogeorgopoulos</w:t>
      </w:r>
      <w:proofErr w:type="spellEnd"/>
      <w:r>
        <w:t xml:space="preserve">, N., </w:t>
      </w:r>
      <w:proofErr w:type="spellStart"/>
      <w:r>
        <w:t>Churyen</w:t>
      </w:r>
      <w:proofErr w:type="spellEnd"/>
      <w:r>
        <w:t xml:space="preserve">, A., &amp; </w:t>
      </w:r>
      <w:proofErr w:type="spellStart"/>
      <w:r>
        <w:t>Duangsaeng</w:t>
      </w:r>
      <w:proofErr w:type="spellEnd"/>
      <w:r>
        <w:t xml:space="preserve">, V. (2014). Success Factors in Community-Based Tourism in Thailand: The Role of Embracing the Local. </w:t>
      </w:r>
      <w:r>
        <w:rPr>
          <w:rStyle w:val="Emphasis"/>
        </w:rPr>
        <w:t>Tourism Planning &amp; Development</w:t>
      </w:r>
      <w:r>
        <w:t>, 11(1), 106–124.</w:t>
      </w:r>
    </w:p>
    <w:p w:rsidR="00EF48E0" w:rsidRDefault="00EF48E0" w:rsidP="00EF48E0">
      <w:pPr>
        <w:pStyle w:val="NormalWeb"/>
        <w:numPr>
          <w:ilvl w:val="0"/>
          <w:numId w:val="31"/>
        </w:numPr>
      </w:pPr>
      <w:r>
        <w:t xml:space="preserve">Morgan, N., Pritchard, A., &amp; Pride, R. (2003). </w:t>
      </w:r>
      <w:r>
        <w:rPr>
          <w:rStyle w:val="Emphasis"/>
        </w:rPr>
        <w:t>Destination Branding: Creating the Unique Destination Proposition</w:t>
      </w:r>
      <w:r>
        <w:t>. Butterworth-Heinemann.</w:t>
      </w:r>
    </w:p>
    <w:p w:rsidR="00EF48E0" w:rsidRDefault="00EF48E0" w:rsidP="00EF48E0">
      <w:pPr>
        <w:pStyle w:val="NormalWeb"/>
        <w:numPr>
          <w:ilvl w:val="0"/>
          <w:numId w:val="31"/>
        </w:numPr>
      </w:pPr>
      <w:proofErr w:type="spellStart"/>
      <w:r>
        <w:t>Suwan</w:t>
      </w:r>
      <w:proofErr w:type="spellEnd"/>
      <w:r>
        <w:t xml:space="preserve">, P., &amp; Hall, C. M. (2022). Post-pandemic Wellness Tourism: A Thai Perspective. </w:t>
      </w:r>
      <w:r>
        <w:rPr>
          <w:rStyle w:val="Emphasis"/>
        </w:rPr>
        <w:t>Asia Pacific Journal of Tourism Research</w:t>
      </w:r>
      <w:r>
        <w:t>, 27(2), 201–218.</w:t>
      </w:r>
    </w:p>
    <w:p w:rsidR="00EF48E0" w:rsidRDefault="00EF48E0" w:rsidP="00EF48E0">
      <w:pPr>
        <w:pStyle w:val="NormalWeb"/>
        <w:numPr>
          <w:ilvl w:val="0"/>
          <w:numId w:val="31"/>
        </w:numPr>
      </w:pPr>
      <w:r>
        <w:t xml:space="preserve">UNESCAP. (2021). </w:t>
      </w:r>
      <w:r>
        <w:rPr>
          <w:rStyle w:val="Emphasis"/>
        </w:rPr>
        <w:t>Tourism Recovery in Asia-Pacific Islands</w:t>
      </w:r>
      <w:r>
        <w:t>. United Nations Economic and Social Commission for Asia and the Pacific.</w:t>
      </w:r>
    </w:p>
    <w:p w:rsidR="00EF48E0" w:rsidRDefault="00EF48E0" w:rsidP="00EF48E0">
      <w:pPr>
        <w:pStyle w:val="NormalWeb"/>
        <w:numPr>
          <w:ilvl w:val="0"/>
          <w:numId w:val="31"/>
        </w:numPr>
      </w:pPr>
      <w:r>
        <w:t xml:space="preserve">UNEP. (2020). </w:t>
      </w:r>
      <w:r>
        <w:rPr>
          <w:rStyle w:val="Emphasis"/>
        </w:rPr>
        <w:t>Blue Economy and Coastal Sustainability in Thailand</w:t>
      </w:r>
      <w:r>
        <w:t xml:space="preserve">. United Nations Environment </w:t>
      </w:r>
      <w:proofErr w:type="spellStart"/>
      <w:r>
        <w:t>Programme</w:t>
      </w:r>
      <w:proofErr w:type="spellEnd"/>
      <w:r>
        <w:t>.</w:t>
      </w:r>
    </w:p>
    <w:p w:rsidR="00EF48E0" w:rsidRDefault="00EF48E0" w:rsidP="00D26592"/>
    <w:sectPr w:rsidR="00EF48E0"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26D2"/>
    <w:multiLevelType w:val="multilevel"/>
    <w:tmpl w:val="FEC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A04B3E"/>
    <w:multiLevelType w:val="multilevel"/>
    <w:tmpl w:val="8958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6E42C8"/>
    <w:multiLevelType w:val="multilevel"/>
    <w:tmpl w:val="67A2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D00CD0"/>
    <w:multiLevelType w:val="multilevel"/>
    <w:tmpl w:val="6B9A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A1560F"/>
    <w:multiLevelType w:val="multilevel"/>
    <w:tmpl w:val="81B4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5D4E09"/>
    <w:multiLevelType w:val="multilevel"/>
    <w:tmpl w:val="E81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FE7C06"/>
    <w:multiLevelType w:val="multilevel"/>
    <w:tmpl w:val="A36E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4C08D3"/>
    <w:multiLevelType w:val="multilevel"/>
    <w:tmpl w:val="52DA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162061"/>
    <w:multiLevelType w:val="multilevel"/>
    <w:tmpl w:val="A688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C72455"/>
    <w:multiLevelType w:val="multilevel"/>
    <w:tmpl w:val="FCC2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6E04F7"/>
    <w:multiLevelType w:val="multilevel"/>
    <w:tmpl w:val="43E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927692"/>
    <w:multiLevelType w:val="multilevel"/>
    <w:tmpl w:val="1044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FB2D2B"/>
    <w:multiLevelType w:val="multilevel"/>
    <w:tmpl w:val="210AF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E06110"/>
    <w:multiLevelType w:val="multilevel"/>
    <w:tmpl w:val="E3D0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6B5320"/>
    <w:multiLevelType w:val="multilevel"/>
    <w:tmpl w:val="8CFA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027388"/>
    <w:multiLevelType w:val="multilevel"/>
    <w:tmpl w:val="D0EA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DB30572"/>
    <w:multiLevelType w:val="multilevel"/>
    <w:tmpl w:val="251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B22375"/>
    <w:multiLevelType w:val="multilevel"/>
    <w:tmpl w:val="0E1A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C81A9C"/>
    <w:multiLevelType w:val="multilevel"/>
    <w:tmpl w:val="2060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670349"/>
    <w:multiLevelType w:val="multilevel"/>
    <w:tmpl w:val="5B5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7580C92"/>
    <w:multiLevelType w:val="multilevel"/>
    <w:tmpl w:val="BA1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117DCC"/>
    <w:multiLevelType w:val="multilevel"/>
    <w:tmpl w:val="9CC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0108EF"/>
    <w:multiLevelType w:val="multilevel"/>
    <w:tmpl w:val="F2CE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429437C"/>
    <w:multiLevelType w:val="multilevel"/>
    <w:tmpl w:val="50F0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6E77AB"/>
    <w:multiLevelType w:val="multilevel"/>
    <w:tmpl w:val="60CA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336BC6"/>
    <w:multiLevelType w:val="multilevel"/>
    <w:tmpl w:val="AE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62059E"/>
    <w:multiLevelType w:val="multilevel"/>
    <w:tmpl w:val="74FE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446F8B"/>
    <w:multiLevelType w:val="multilevel"/>
    <w:tmpl w:val="D6B8D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2727A3"/>
    <w:multiLevelType w:val="multilevel"/>
    <w:tmpl w:val="C60A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5E10089"/>
    <w:multiLevelType w:val="multilevel"/>
    <w:tmpl w:val="7D1E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4010A8"/>
    <w:multiLevelType w:val="multilevel"/>
    <w:tmpl w:val="798C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FD70C5"/>
    <w:multiLevelType w:val="multilevel"/>
    <w:tmpl w:val="13EC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0"/>
  </w:num>
  <w:num w:numId="3">
    <w:abstractNumId w:val="20"/>
  </w:num>
  <w:num w:numId="4">
    <w:abstractNumId w:val="12"/>
  </w:num>
  <w:num w:numId="5">
    <w:abstractNumId w:val="9"/>
  </w:num>
  <w:num w:numId="6">
    <w:abstractNumId w:val="5"/>
  </w:num>
  <w:num w:numId="7">
    <w:abstractNumId w:val="10"/>
  </w:num>
  <w:num w:numId="8">
    <w:abstractNumId w:val="18"/>
  </w:num>
  <w:num w:numId="9">
    <w:abstractNumId w:val="19"/>
  </w:num>
  <w:num w:numId="10">
    <w:abstractNumId w:val="16"/>
  </w:num>
  <w:num w:numId="11">
    <w:abstractNumId w:val="6"/>
  </w:num>
  <w:num w:numId="12">
    <w:abstractNumId w:val="17"/>
  </w:num>
  <w:num w:numId="13">
    <w:abstractNumId w:val="26"/>
  </w:num>
  <w:num w:numId="14">
    <w:abstractNumId w:val="24"/>
  </w:num>
  <w:num w:numId="15">
    <w:abstractNumId w:val="23"/>
  </w:num>
  <w:num w:numId="16">
    <w:abstractNumId w:val="7"/>
  </w:num>
  <w:num w:numId="17">
    <w:abstractNumId w:val="22"/>
  </w:num>
  <w:num w:numId="18">
    <w:abstractNumId w:val="13"/>
  </w:num>
  <w:num w:numId="19">
    <w:abstractNumId w:val="1"/>
  </w:num>
  <w:num w:numId="20">
    <w:abstractNumId w:val="25"/>
  </w:num>
  <w:num w:numId="21">
    <w:abstractNumId w:val="11"/>
  </w:num>
  <w:num w:numId="22">
    <w:abstractNumId w:val="3"/>
  </w:num>
  <w:num w:numId="23">
    <w:abstractNumId w:val="14"/>
  </w:num>
  <w:num w:numId="24">
    <w:abstractNumId w:val="4"/>
  </w:num>
  <w:num w:numId="25">
    <w:abstractNumId w:val="32"/>
  </w:num>
  <w:num w:numId="26">
    <w:abstractNumId w:val="27"/>
  </w:num>
  <w:num w:numId="27">
    <w:abstractNumId w:val="2"/>
  </w:num>
  <w:num w:numId="28">
    <w:abstractNumId w:val="30"/>
  </w:num>
  <w:num w:numId="29">
    <w:abstractNumId w:val="28"/>
  </w:num>
  <w:num w:numId="30">
    <w:abstractNumId w:val="8"/>
  </w:num>
  <w:num w:numId="31">
    <w:abstractNumId w:val="15"/>
  </w:num>
  <w:num w:numId="32">
    <w:abstractNumId w:val="31"/>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2123D3"/>
    <w:rsid w:val="00340852"/>
    <w:rsid w:val="00363944"/>
    <w:rsid w:val="003D62F1"/>
    <w:rsid w:val="0044073B"/>
    <w:rsid w:val="004A5B01"/>
    <w:rsid w:val="005C37D4"/>
    <w:rsid w:val="00672EA7"/>
    <w:rsid w:val="006A5246"/>
    <w:rsid w:val="00746D17"/>
    <w:rsid w:val="00765BA3"/>
    <w:rsid w:val="007C58FC"/>
    <w:rsid w:val="007E0478"/>
    <w:rsid w:val="008B22C7"/>
    <w:rsid w:val="009A412F"/>
    <w:rsid w:val="009D421F"/>
    <w:rsid w:val="00A454A9"/>
    <w:rsid w:val="00B53C2E"/>
    <w:rsid w:val="00B74537"/>
    <w:rsid w:val="00BB5DD3"/>
    <w:rsid w:val="00C448D7"/>
    <w:rsid w:val="00D26592"/>
    <w:rsid w:val="00D915F8"/>
    <w:rsid w:val="00DB667C"/>
    <w:rsid w:val="00EC504E"/>
    <w:rsid w:val="00EF48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1">
    <w:name w:val="heading 1"/>
    <w:basedOn w:val="Normal"/>
    <w:next w:val="Normal"/>
    <w:link w:val="Heading1Char"/>
    <w:uiPriority w:val="9"/>
    <w:qFormat/>
    <w:rsid w:val="00EF48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44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448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B22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C448D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448D7"/>
    <w:rPr>
      <w:rFonts w:ascii="Times New Roman" w:eastAsia="Times New Roman" w:hAnsi="Times New Roman" w:cs="Times New Roman"/>
      <w:b/>
      <w:bCs/>
      <w:sz w:val="27"/>
      <w:szCs w:val="27"/>
    </w:rPr>
  </w:style>
  <w:style w:type="paragraph" w:styleId="NormalWeb">
    <w:name w:val="Normal (Web)"/>
    <w:basedOn w:val="Normal"/>
    <w:uiPriority w:val="99"/>
    <w:unhideWhenUsed/>
    <w:rsid w:val="00C448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48D7"/>
    <w:rPr>
      <w:i/>
      <w:iCs/>
    </w:rPr>
  </w:style>
  <w:style w:type="character" w:styleId="Strong">
    <w:name w:val="Strong"/>
    <w:basedOn w:val="DefaultParagraphFont"/>
    <w:uiPriority w:val="22"/>
    <w:qFormat/>
    <w:rsid w:val="00C448D7"/>
    <w:rPr>
      <w:b/>
      <w:bCs/>
    </w:rPr>
  </w:style>
  <w:style w:type="character" w:styleId="Hyperlink">
    <w:name w:val="Hyperlink"/>
    <w:basedOn w:val="DefaultParagraphFont"/>
    <w:uiPriority w:val="99"/>
    <w:semiHidden/>
    <w:unhideWhenUsed/>
    <w:rsid w:val="00C448D7"/>
    <w:rPr>
      <w:color w:val="0000FF"/>
      <w:u w:val="single"/>
    </w:rPr>
  </w:style>
  <w:style w:type="character" w:customStyle="1" w:styleId="Heading4Char">
    <w:name w:val="Heading 4 Char"/>
    <w:basedOn w:val="DefaultParagraphFont"/>
    <w:link w:val="Heading4"/>
    <w:uiPriority w:val="9"/>
    <w:semiHidden/>
    <w:rsid w:val="008B22C7"/>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EF48E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2658254">
      <w:bodyDiv w:val="1"/>
      <w:marLeft w:val="0"/>
      <w:marRight w:val="0"/>
      <w:marTop w:val="0"/>
      <w:marBottom w:val="0"/>
      <w:divBdr>
        <w:top w:val="none" w:sz="0" w:space="0" w:color="auto"/>
        <w:left w:val="none" w:sz="0" w:space="0" w:color="auto"/>
        <w:bottom w:val="none" w:sz="0" w:space="0" w:color="auto"/>
        <w:right w:val="none" w:sz="0" w:space="0" w:color="auto"/>
      </w:divBdr>
    </w:div>
    <w:div w:id="58481612">
      <w:bodyDiv w:val="1"/>
      <w:marLeft w:val="0"/>
      <w:marRight w:val="0"/>
      <w:marTop w:val="0"/>
      <w:marBottom w:val="0"/>
      <w:divBdr>
        <w:top w:val="none" w:sz="0" w:space="0" w:color="auto"/>
        <w:left w:val="none" w:sz="0" w:space="0" w:color="auto"/>
        <w:bottom w:val="none" w:sz="0" w:space="0" w:color="auto"/>
        <w:right w:val="none" w:sz="0" w:space="0" w:color="auto"/>
      </w:divBdr>
    </w:div>
    <w:div w:id="97484774">
      <w:bodyDiv w:val="1"/>
      <w:marLeft w:val="0"/>
      <w:marRight w:val="0"/>
      <w:marTop w:val="0"/>
      <w:marBottom w:val="0"/>
      <w:divBdr>
        <w:top w:val="none" w:sz="0" w:space="0" w:color="auto"/>
        <w:left w:val="none" w:sz="0" w:space="0" w:color="auto"/>
        <w:bottom w:val="none" w:sz="0" w:space="0" w:color="auto"/>
        <w:right w:val="none" w:sz="0" w:space="0" w:color="auto"/>
      </w:divBdr>
    </w:div>
    <w:div w:id="120853888">
      <w:bodyDiv w:val="1"/>
      <w:marLeft w:val="0"/>
      <w:marRight w:val="0"/>
      <w:marTop w:val="0"/>
      <w:marBottom w:val="0"/>
      <w:divBdr>
        <w:top w:val="none" w:sz="0" w:space="0" w:color="auto"/>
        <w:left w:val="none" w:sz="0" w:space="0" w:color="auto"/>
        <w:bottom w:val="none" w:sz="0" w:space="0" w:color="auto"/>
        <w:right w:val="none" w:sz="0" w:space="0" w:color="auto"/>
      </w:divBdr>
    </w:div>
    <w:div w:id="323123122">
      <w:bodyDiv w:val="1"/>
      <w:marLeft w:val="0"/>
      <w:marRight w:val="0"/>
      <w:marTop w:val="0"/>
      <w:marBottom w:val="0"/>
      <w:divBdr>
        <w:top w:val="none" w:sz="0" w:space="0" w:color="auto"/>
        <w:left w:val="none" w:sz="0" w:space="0" w:color="auto"/>
        <w:bottom w:val="none" w:sz="0" w:space="0" w:color="auto"/>
        <w:right w:val="none" w:sz="0" w:space="0" w:color="auto"/>
      </w:divBdr>
    </w:div>
    <w:div w:id="327098994">
      <w:bodyDiv w:val="1"/>
      <w:marLeft w:val="0"/>
      <w:marRight w:val="0"/>
      <w:marTop w:val="0"/>
      <w:marBottom w:val="0"/>
      <w:divBdr>
        <w:top w:val="none" w:sz="0" w:space="0" w:color="auto"/>
        <w:left w:val="none" w:sz="0" w:space="0" w:color="auto"/>
        <w:bottom w:val="none" w:sz="0" w:space="0" w:color="auto"/>
        <w:right w:val="none" w:sz="0" w:space="0" w:color="auto"/>
      </w:divBdr>
    </w:div>
    <w:div w:id="906114731">
      <w:bodyDiv w:val="1"/>
      <w:marLeft w:val="0"/>
      <w:marRight w:val="0"/>
      <w:marTop w:val="0"/>
      <w:marBottom w:val="0"/>
      <w:divBdr>
        <w:top w:val="none" w:sz="0" w:space="0" w:color="auto"/>
        <w:left w:val="none" w:sz="0" w:space="0" w:color="auto"/>
        <w:bottom w:val="none" w:sz="0" w:space="0" w:color="auto"/>
        <w:right w:val="none" w:sz="0" w:space="0" w:color="auto"/>
      </w:divBdr>
    </w:div>
    <w:div w:id="929775096">
      <w:bodyDiv w:val="1"/>
      <w:marLeft w:val="0"/>
      <w:marRight w:val="0"/>
      <w:marTop w:val="0"/>
      <w:marBottom w:val="0"/>
      <w:divBdr>
        <w:top w:val="none" w:sz="0" w:space="0" w:color="auto"/>
        <w:left w:val="none" w:sz="0" w:space="0" w:color="auto"/>
        <w:bottom w:val="none" w:sz="0" w:space="0" w:color="auto"/>
        <w:right w:val="none" w:sz="0" w:space="0" w:color="auto"/>
      </w:divBdr>
    </w:div>
    <w:div w:id="1320113450">
      <w:bodyDiv w:val="1"/>
      <w:marLeft w:val="0"/>
      <w:marRight w:val="0"/>
      <w:marTop w:val="0"/>
      <w:marBottom w:val="0"/>
      <w:divBdr>
        <w:top w:val="none" w:sz="0" w:space="0" w:color="auto"/>
        <w:left w:val="none" w:sz="0" w:space="0" w:color="auto"/>
        <w:bottom w:val="none" w:sz="0" w:space="0" w:color="auto"/>
        <w:right w:val="none" w:sz="0" w:space="0" w:color="auto"/>
      </w:divBdr>
    </w:div>
    <w:div w:id="1640842870">
      <w:bodyDiv w:val="1"/>
      <w:marLeft w:val="0"/>
      <w:marRight w:val="0"/>
      <w:marTop w:val="0"/>
      <w:marBottom w:val="0"/>
      <w:divBdr>
        <w:top w:val="none" w:sz="0" w:space="0" w:color="auto"/>
        <w:left w:val="none" w:sz="0" w:space="0" w:color="auto"/>
        <w:bottom w:val="none" w:sz="0" w:space="0" w:color="auto"/>
        <w:right w:val="none" w:sz="0" w:space="0" w:color="auto"/>
      </w:divBdr>
    </w:div>
    <w:div w:id="1688798628">
      <w:bodyDiv w:val="1"/>
      <w:marLeft w:val="0"/>
      <w:marRight w:val="0"/>
      <w:marTop w:val="0"/>
      <w:marBottom w:val="0"/>
      <w:divBdr>
        <w:top w:val="none" w:sz="0" w:space="0" w:color="auto"/>
        <w:left w:val="none" w:sz="0" w:space="0" w:color="auto"/>
        <w:bottom w:val="none" w:sz="0" w:space="0" w:color="auto"/>
        <w:right w:val="none" w:sz="0" w:space="0" w:color="auto"/>
      </w:divBdr>
    </w:div>
    <w:div w:id="1746142881">
      <w:bodyDiv w:val="1"/>
      <w:marLeft w:val="0"/>
      <w:marRight w:val="0"/>
      <w:marTop w:val="0"/>
      <w:marBottom w:val="0"/>
      <w:divBdr>
        <w:top w:val="none" w:sz="0" w:space="0" w:color="auto"/>
        <w:left w:val="none" w:sz="0" w:space="0" w:color="auto"/>
        <w:bottom w:val="none" w:sz="0" w:space="0" w:color="auto"/>
        <w:right w:val="none" w:sz="0" w:space="0" w:color="auto"/>
      </w:divBdr>
    </w:div>
    <w:div w:id="1787893713">
      <w:bodyDiv w:val="1"/>
      <w:marLeft w:val="0"/>
      <w:marRight w:val="0"/>
      <w:marTop w:val="0"/>
      <w:marBottom w:val="0"/>
      <w:divBdr>
        <w:top w:val="none" w:sz="0" w:space="0" w:color="auto"/>
        <w:left w:val="none" w:sz="0" w:space="0" w:color="auto"/>
        <w:bottom w:val="none" w:sz="0" w:space="0" w:color="auto"/>
        <w:right w:val="none" w:sz="0" w:space="0" w:color="auto"/>
      </w:divBdr>
    </w:div>
    <w:div w:id="1794397411">
      <w:bodyDiv w:val="1"/>
      <w:marLeft w:val="0"/>
      <w:marRight w:val="0"/>
      <w:marTop w:val="0"/>
      <w:marBottom w:val="0"/>
      <w:divBdr>
        <w:top w:val="none" w:sz="0" w:space="0" w:color="auto"/>
        <w:left w:val="none" w:sz="0" w:space="0" w:color="auto"/>
        <w:bottom w:val="none" w:sz="0" w:space="0" w:color="auto"/>
        <w:right w:val="none" w:sz="0" w:space="0" w:color="auto"/>
      </w:divBdr>
    </w:div>
    <w:div w:id="1878663980">
      <w:bodyDiv w:val="1"/>
      <w:marLeft w:val="0"/>
      <w:marRight w:val="0"/>
      <w:marTop w:val="0"/>
      <w:marBottom w:val="0"/>
      <w:divBdr>
        <w:top w:val="none" w:sz="0" w:space="0" w:color="auto"/>
        <w:left w:val="none" w:sz="0" w:space="0" w:color="auto"/>
        <w:bottom w:val="none" w:sz="0" w:space="0" w:color="auto"/>
        <w:right w:val="none" w:sz="0" w:space="0" w:color="auto"/>
      </w:divBdr>
    </w:div>
    <w:div w:id="1893227582">
      <w:bodyDiv w:val="1"/>
      <w:marLeft w:val="0"/>
      <w:marRight w:val="0"/>
      <w:marTop w:val="0"/>
      <w:marBottom w:val="0"/>
      <w:divBdr>
        <w:top w:val="none" w:sz="0" w:space="0" w:color="auto"/>
        <w:left w:val="none" w:sz="0" w:space="0" w:color="auto"/>
        <w:bottom w:val="none" w:sz="0" w:space="0" w:color="auto"/>
        <w:right w:val="none" w:sz="0" w:space="0" w:color="auto"/>
      </w:divBdr>
      <w:divsChild>
        <w:div w:id="163467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430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8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717505">
          <w:marLeft w:val="0"/>
          <w:marRight w:val="0"/>
          <w:marTop w:val="0"/>
          <w:marBottom w:val="0"/>
          <w:divBdr>
            <w:top w:val="none" w:sz="0" w:space="0" w:color="auto"/>
            <w:left w:val="none" w:sz="0" w:space="0" w:color="auto"/>
            <w:bottom w:val="none" w:sz="0" w:space="0" w:color="auto"/>
            <w:right w:val="none" w:sz="0" w:space="0" w:color="auto"/>
          </w:divBdr>
          <w:divsChild>
            <w:div w:id="14043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43101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1361</TotalTime>
  <Pages>13</Pages>
  <Words>5110</Words>
  <Characters>29128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2025-06-15T05:53:00Z</dcterms:created>
  <dcterms:modified xsi:type="dcterms:W3CDTF">2025-06-21T08:50:00Z</dcterms:modified>
</cp:coreProperties>
</file>