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EBBEE" w14:textId="77777777" w:rsidR="005832D5" w:rsidRPr="001C07BC" w:rsidRDefault="005832D5" w:rsidP="005832D5">
      <w:pPr>
        <w:spacing w:line="480" w:lineRule="auto"/>
        <w:jc w:val="center"/>
        <w:rPr>
          <w:rFonts w:ascii="Calibri" w:hAnsi="Calibri" w:cs="Calibri"/>
          <w:szCs w:val="24"/>
        </w:rPr>
      </w:pPr>
      <w:r w:rsidRPr="001C07BC">
        <w:rPr>
          <w:rFonts w:ascii="Calibri" w:hAnsi="Calibri" w:cs="Calibri"/>
          <w:szCs w:val="24"/>
        </w:rPr>
        <w:drawing>
          <wp:inline distT="0" distB="0" distL="0" distR="0" wp14:anchorId="2B1813DE" wp14:editId="55BEF84D">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526C588D" w14:textId="77777777" w:rsidR="005832D5" w:rsidRPr="006B6E2B" w:rsidRDefault="005832D5" w:rsidP="005832D5">
      <w:pPr>
        <w:spacing w:line="480" w:lineRule="auto"/>
        <w:jc w:val="center"/>
        <w:rPr>
          <w:rFonts w:ascii="Calibri" w:hAnsi="Calibri" w:cs="Calibri"/>
          <w:b/>
          <w:bCs/>
          <w:szCs w:val="24"/>
        </w:rPr>
      </w:pPr>
      <w:proofErr w:type="spellStart"/>
      <w:r w:rsidRPr="006B6E2B">
        <w:rPr>
          <w:rFonts w:ascii="Calibri" w:hAnsi="Calibri" w:cs="Calibri"/>
          <w:b/>
          <w:bCs/>
          <w:szCs w:val="24"/>
        </w:rPr>
        <w:t>Accouting</w:t>
      </w:r>
      <w:proofErr w:type="spellEnd"/>
      <w:r w:rsidRPr="006B6E2B">
        <w:rPr>
          <w:rFonts w:ascii="Calibri" w:hAnsi="Calibri" w:cs="Calibri"/>
          <w:b/>
          <w:bCs/>
          <w:szCs w:val="24"/>
        </w:rPr>
        <w:t xml:space="preserve"> Fundamentals February BATTBM</w:t>
      </w:r>
    </w:p>
    <w:p w14:paraId="218DF0D1" w14:textId="77777777" w:rsidR="005832D5" w:rsidRPr="001C07BC" w:rsidRDefault="005832D5" w:rsidP="005832D5">
      <w:pPr>
        <w:spacing w:line="480" w:lineRule="auto"/>
        <w:jc w:val="center"/>
        <w:rPr>
          <w:rFonts w:ascii="Calibri" w:hAnsi="Calibri" w:cs="Calibri"/>
          <w:b/>
          <w:bCs/>
          <w:szCs w:val="24"/>
        </w:rPr>
      </w:pPr>
      <w:r w:rsidRPr="001C07BC">
        <w:rPr>
          <w:rFonts w:ascii="Calibri" w:hAnsi="Calibri" w:cs="Calibri"/>
          <w:b/>
          <w:bCs/>
          <w:szCs w:val="24"/>
        </w:rPr>
        <w:t>Assignment 1: Advanced Theoretical Concepts of Accounting and Their Application in Modern Business Practices</w:t>
      </w:r>
    </w:p>
    <w:p w14:paraId="5D5C425D" w14:textId="77777777" w:rsidR="005832D5" w:rsidRPr="001C07BC" w:rsidRDefault="005832D5" w:rsidP="005832D5">
      <w:pPr>
        <w:spacing w:line="480" w:lineRule="auto"/>
        <w:jc w:val="center"/>
        <w:rPr>
          <w:rFonts w:ascii="Calibri" w:hAnsi="Calibri" w:cs="Calibri"/>
          <w:b/>
          <w:bCs/>
          <w:szCs w:val="24"/>
        </w:rPr>
      </w:pPr>
    </w:p>
    <w:p w14:paraId="376ACBB8" w14:textId="77777777" w:rsidR="005832D5" w:rsidRPr="001C07BC" w:rsidRDefault="005832D5" w:rsidP="005832D5">
      <w:pPr>
        <w:spacing w:line="480" w:lineRule="auto"/>
        <w:jc w:val="center"/>
        <w:rPr>
          <w:rFonts w:ascii="Calibri" w:hAnsi="Calibri" w:cs="Calibri"/>
          <w:b/>
          <w:bCs/>
          <w:szCs w:val="24"/>
        </w:rPr>
      </w:pPr>
    </w:p>
    <w:p w14:paraId="171614D5" w14:textId="77777777" w:rsidR="005832D5" w:rsidRPr="001C07BC" w:rsidRDefault="005832D5" w:rsidP="005832D5">
      <w:pPr>
        <w:spacing w:line="480" w:lineRule="auto"/>
        <w:jc w:val="center"/>
        <w:rPr>
          <w:rFonts w:ascii="Calibri" w:hAnsi="Calibri" w:cs="Calibri"/>
          <w:b/>
          <w:bCs/>
          <w:szCs w:val="24"/>
        </w:rPr>
      </w:pPr>
    </w:p>
    <w:p w14:paraId="4529F1B1" w14:textId="77777777" w:rsidR="005832D5" w:rsidRPr="001C07BC" w:rsidRDefault="005832D5" w:rsidP="005832D5">
      <w:pPr>
        <w:spacing w:line="480" w:lineRule="auto"/>
        <w:jc w:val="center"/>
        <w:rPr>
          <w:rFonts w:ascii="Calibri" w:hAnsi="Calibri" w:cs="Calibri"/>
          <w:b/>
          <w:bCs/>
          <w:szCs w:val="24"/>
        </w:rPr>
      </w:pPr>
    </w:p>
    <w:p w14:paraId="7529E39F" w14:textId="77777777" w:rsidR="005832D5" w:rsidRPr="001C07BC" w:rsidRDefault="005832D5" w:rsidP="005832D5">
      <w:pPr>
        <w:spacing w:line="480" w:lineRule="auto"/>
        <w:jc w:val="center"/>
        <w:rPr>
          <w:rFonts w:ascii="Calibri" w:hAnsi="Calibri" w:cs="Calibri"/>
          <w:b/>
          <w:bCs/>
          <w:szCs w:val="24"/>
        </w:rPr>
      </w:pPr>
    </w:p>
    <w:p w14:paraId="630E402C" w14:textId="77777777" w:rsidR="005832D5" w:rsidRPr="001C07BC" w:rsidRDefault="005832D5" w:rsidP="005832D5">
      <w:pPr>
        <w:spacing w:line="480" w:lineRule="auto"/>
        <w:jc w:val="center"/>
        <w:rPr>
          <w:rFonts w:ascii="Calibri" w:hAnsi="Calibri" w:cs="Calibri"/>
          <w:b/>
          <w:bCs/>
          <w:szCs w:val="24"/>
        </w:rPr>
      </w:pPr>
    </w:p>
    <w:p w14:paraId="34C0CA1A" w14:textId="77777777" w:rsidR="005832D5" w:rsidRPr="001C07BC" w:rsidRDefault="005832D5" w:rsidP="005832D5">
      <w:pPr>
        <w:spacing w:line="480" w:lineRule="auto"/>
        <w:jc w:val="center"/>
        <w:rPr>
          <w:rFonts w:ascii="Calibri" w:hAnsi="Calibri" w:cs="Calibri"/>
          <w:b/>
          <w:bCs/>
          <w:szCs w:val="24"/>
        </w:rPr>
      </w:pPr>
    </w:p>
    <w:p w14:paraId="6316136C" w14:textId="77777777" w:rsidR="005832D5" w:rsidRPr="001C07BC" w:rsidRDefault="005832D5" w:rsidP="005832D5">
      <w:pPr>
        <w:spacing w:line="480" w:lineRule="auto"/>
        <w:jc w:val="center"/>
        <w:rPr>
          <w:rFonts w:ascii="Calibri" w:hAnsi="Calibri" w:cs="Calibri"/>
          <w:b/>
          <w:bCs/>
          <w:szCs w:val="24"/>
        </w:rPr>
      </w:pPr>
    </w:p>
    <w:p w14:paraId="60F3F71D" w14:textId="77777777" w:rsidR="005832D5" w:rsidRPr="001C07BC" w:rsidRDefault="005832D5" w:rsidP="005832D5">
      <w:pPr>
        <w:spacing w:line="480" w:lineRule="auto"/>
        <w:jc w:val="center"/>
        <w:rPr>
          <w:rFonts w:ascii="Calibri" w:hAnsi="Calibri" w:cs="Calibri"/>
          <w:b/>
          <w:bCs/>
          <w:szCs w:val="24"/>
        </w:rPr>
      </w:pPr>
    </w:p>
    <w:p w14:paraId="0A5C0E6C" w14:textId="77777777" w:rsidR="005832D5" w:rsidRPr="001C07BC" w:rsidRDefault="005832D5" w:rsidP="005832D5">
      <w:pPr>
        <w:spacing w:line="480" w:lineRule="auto"/>
        <w:jc w:val="center"/>
        <w:rPr>
          <w:rFonts w:ascii="Calibri" w:hAnsi="Calibri" w:cs="Calibri"/>
          <w:b/>
          <w:bCs/>
          <w:szCs w:val="24"/>
        </w:rPr>
      </w:pPr>
    </w:p>
    <w:p w14:paraId="08A1F485" w14:textId="77777777" w:rsidR="005832D5" w:rsidRPr="001C07BC" w:rsidRDefault="005832D5" w:rsidP="005832D5">
      <w:pPr>
        <w:spacing w:line="480" w:lineRule="auto"/>
        <w:jc w:val="center"/>
        <w:rPr>
          <w:rFonts w:ascii="Calibri" w:hAnsi="Calibri" w:cs="Calibri"/>
          <w:b/>
          <w:bCs/>
          <w:szCs w:val="24"/>
        </w:rPr>
      </w:pPr>
    </w:p>
    <w:p w14:paraId="482E3708" w14:textId="77777777" w:rsidR="005832D5" w:rsidRPr="001C07BC" w:rsidRDefault="005832D5" w:rsidP="005832D5">
      <w:pPr>
        <w:spacing w:line="480" w:lineRule="auto"/>
        <w:jc w:val="center"/>
        <w:rPr>
          <w:rFonts w:ascii="Calibri" w:hAnsi="Calibri" w:cs="Calibri"/>
          <w:b/>
          <w:bCs/>
          <w:szCs w:val="24"/>
        </w:rPr>
      </w:pPr>
    </w:p>
    <w:p w14:paraId="300207E5" w14:textId="77777777" w:rsidR="005832D5" w:rsidRPr="001C07BC" w:rsidRDefault="005832D5" w:rsidP="005832D5">
      <w:pPr>
        <w:spacing w:line="480" w:lineRule="auto"/>
        <w:jc w:val="center"/>
        <w:rPr>
          <w:rFonts w:ascii="Calibri" w:hAnsi="Calibri" w:cs="Calibri"/>
          <w:b/>
          <w:bCs/>
          <w:szCs w:val="24"/>
        </w:rPr>
      </w:pPr>
    </w:p>
    <w:p w14:paraId="58F5BBCC" w14:textId="77777777" w:rsidR="005832D5" w:rsidRPr="001C07BC" w:rsidRDefault="005832D5" w:rsidP="005832D5">
      <w:pPr>
        <w:pStyle w:val="Heading2"/>
        <w:rPr>
          <w:rFonts w:ascii="Calibri" w:hAnsi="Calibri" w:cs="Calibri"/>
          <w:sz w:val="24"/>
          <w:szCs w:val="24"/>
        </w:rPr>
      </w:pPr>
      <w:bookmarkStart w:id="0" w:name="_Toc224846299"/>
      <w:r w:rsidRPr="001C07BC">
        <w:rPr>
          <w:rFonts w:ascii="Calibri" w:hAnsi="Calibri" w:cs="Calibri"/>
          <w:sz w:val="24"/>
          <w:szCs w:val="24"/>
        </w:rPr>
        <w:lastRenderedPageBreak/>
        <w:t>Abstract</w:t>
      </w:r>
      <w:bookmarkEnd w:id="0"/>
    </w:p>
    <w:p w14:paraId="5F7E6046" w14:textId="77777777" w:rsidR="00D573DE" w:rsidRPr="001C07BC" w:rsidRDefault="00D573DE" w:rsidP="00D573DE">
      <w:pPr>
        <w:rPr>
          <w:rFonts w:ascii="Calibri" w:hAnsi="Calibri" w:cs="Calibri"/>
          <w:szCs w:val="24"/>
        </w:rPr>
      </w:pPr>
    </w:p>
    <w:p w14:paraId="675116CA" w14:textId="77777777" w:rsidR="00D573DE" w:rsidRPr="001C07BC" w:rsidRDefault="00D573DE" w:rsidP="00D573DE">
      <w:pPr>
        <w:spacing w:line="480" w:lineRule="auto"/>
        <w:rPr>
          <w:rFonts w:ascii="Calibri" w:hAnsi="Calibri" w:cs="Calibri"/>
          <w:szCs w:val="24"/>
        </w:rPr>
      </w:pPr>
      <w:r w:rsidRPr="001C07BC">
        <w:rPr>
          <w:rFonts w:ascii="Calibri" w:hAnsi="Calibri" w:cs="Calibri"/>
          <w:szCs w:val="24"/>
        </w:rPr>
        <w:t xml:space="preserve">The report </w:t>
      </w:r>
      <w:proofErr w:type="spellStart"/>
      <w:r w:rsidRPr="001C07BC">
        <w:rPr>
          <w:rFonts w:ascii="Calibri" w:hAnsi="Calibri" w:cs="Calibri"/>
          <w:szCs w:val="24"/>
        </w:rPr>
        <w:t>analyzes</w:t>
      </w:r>
      <w:proofErr w:type="spellEnd"/>
      <w:r w:rsidRPr="001C07BC">
        <w:rPr>
          <w:rFonts w:ascii="Calibri" w:hAnsi="Calibri" w:cs="Calibri"/>
          <w:szCs w:val="24"/>
        </w:rPr>
        <w:t xml:space="preserve"> the theoretical concepts of advanced accounting and discusses their applicability in contemporary business. It starts with an examination of the development of core principles, especially the accounting equation, and how its meaning has widened as financial environments became more complex. The research also discusses the comparative systems of International Financial Reporting Standards (IFRS) and Generally Accepted Accounting Principles (GAAP) and their relevance to the quality of financial reporting, comparability, and international decision-making.</w:t>
      </w:r>
    </w:p>
    <w:p w14:paraId="2CE4270A" w14:textId="77777777" w:rsidR="00D573DE" w:rsidRPr="001C07BC" w:rsidRDefault="00D573DE" w:rsidP="00D573DE">
      <w:pPr>
        <w:spacing w:line="480" w:lineRule="auto"/>
        <w:rPr>
          <w:rFonts w:ascii="Calibri" w:hAnsi="Calibri" w:cs="Calibri"/>
          <w:szCs w:val="24"/>
        </w:rPr>
      </w:pPr>
      <w:r w:rsidRPr="001C07BC">
        <w:rPr>
          <w:rFonts w:ascii="Calibri" w:hAnsi="Calibri" w:cs="Calibri"/>
          <w:szCs w:val="24"/>
        </w:rPr>
        <w:t>The significance of corporate governance in facilitating ethical accounting practices, transparency, and protection of stakeholder interests is also explored. The report further examines the interrelationship between the key financial statements, balance sheet, income statement, and cash flow statement, and how their integration presents a holistic perspective of the financial health of an organization.</w:t>
      </w:r>
    </w:p>
    <w:p w14:paraId="208BEAA5" w14:textId="47BA7470" w:rsidR="005832D5" w:rsidRPr="001C07BC" w:rsidRDefault="00D573DE" w:rsidP="00D573DE">
      <w:pPr>
        <w:spacing w:line="480" w:lineRule="auto"/>
        <w:rPr>
          <w:rFonts w:ascii="Calibri" w:hAnsi="Calibri" w:cs="Calibri"/>
          <w:b/>
          <w:bCs/>
          <w:szCs w:val="24"/>
        </w:rPr>
      </w:pPr>
      <w:r w:rsidRPr="001C07BC">
        <w:rPr>
          <w:rFonts w:ascii="Calibri" w:hAnsi="Calibri" w:cs="Calibri"/>
          <w:szCs w:val="24"/>
        </w:rPr>
        <w:t>Complex accounting concepts like fair value measurement, asset impairment and off-balance-sheet financing are addressed with examples of their real-world implementation, illustrating their practical importance and possible risks. The report generally presents a critical and practical view on how modern accounting systems can enable informed business decisions and cope with the challenges of globalization, regulatory heterogeneity, and financial complexity.</w:t>
      </w:r>
    </w:p>
    <w:p w14:paraId="32B57A35" w14:textId="77777777" w:rsidR="005832D5" w:rsidRPr="001C07BC" w:rsidRDefault="005832D5" w:rsidP="005832D5">
      <w:pPr>
        <w:spacing w:line="480" w:lineRule="auto"/>
        <w:rPr>
          <w:rFonts w:ascii="Calibri" w:hAnsi="Calibri" w:cs="Calibri"/>
          <w:b/>
          <w:bCs/>
          <w:szCs w:val="24"/>
        </w:rPr>
      </w:pPr>
    </w:p>
    <w:p w14:paraId="771E1AEB" w14:textId="77777777" w:rsidR="005832D5" w:rsidRPr="001C07BC" w:rsidRDefault="005832D5" w:rsidP="005832D5">
      <w:pPr>
        <w:spacing w:line="480" w:lineRule="auto"/>
        <w:rPr>
          <w:rFonts w:ascii="Calibri" w:hAnsi="Calibri" w:cs="Calibri"/>
          <w:b/>
          <w:bCs/>
          <w:szCs w:val="24"/>
        </w:rPr>
      </w:pPr>
    </w:p>
    <w:p w14:paraId="54131B84" w14:textId="77777777" w:rsidR="00D573DE" w:rsidRPr="001C07BC" w:rsidRDefault="00D573DE" w:rsidP="005832D5">
      <w:pPr>
        <w:spacing w:line="480" w:lineRule="auto"/>
        <w:rPr>
          <w:rFonts w:ascii="Calibri" w:hAnsi="Calibri" w:cs="Calibri"/>
          <w:b/>
          <w:bCs/>
          <w:szCs w:val="24"/>
        </w:rPr>
      </w:pPr>
    </w:p>
    <w:sdt>
      <w:sdtPr>
        <w:rPr>
          <w:rFonts w:ascii="Calibri" w:hAnsi="Calibri" w:cs="Calibri"/>
          <w:sz w:val="24"/>
          <w:szCs w:val="24"/>
        </w:rPr>
        <w:id w:val="671619869"/>
        <w:docPartObj>
          <w:docPartGallery w:val="Table of Contents"/>
          <w:docPartUnique/>
        </w:docPartObj>
      </w:sdtPr>
      <w:sdtEndPr>
        <w:rPr>
          <w:rFonts w:eastAsiaTheme="minorHAnsi"/>
          <w:b/>
          <w:bCs/>
          <w:noProof/>
          <w:color w:val="auto"/>
          <w:kern w:val="2"/>
          <w:lang w:val="en-GB" w:bidi="hi-IN"/>
          <w14:ligatures w14:val="standardContextual"/>
        </w:rPr>
      </w:sdtEndPr>
      <w:sdtContent>
        <w:p w14:paraId="58FB9724" w14:textId="77777777" w:rsidR="005832D5" w:rsidRPr="001C07BC" w:rsidRDefault="005832D5" w:rsidP="005832D5">
          <w:pPr>
            <w:pStyle w:val="TOCHeading"/>
            <w:rPr>
              <w:rFonts w:ascii="Calibri" w:hAnsi="Calibri" w:cs="Calibri"/>
              <w:sz w:val="24"/>
              <w:szCs w:val="24"/>
            </w:rPr>
          </w:pPr>
          <w:r w:rsidRPr="001C07BC">
            <w:rPr>
              <w:rFonts w:ascii="Calibri" w:hAnsi="Calibri" w:cs="Calibri"/>
              <w:sz w:val="24"/>
              <w:szCs w:val="24"/>
            </w:rPr>
            <w:t>Contents</w:t>
          </w:r>
        </w:p>
        <w:p w14:paraId="46E21DF7" w14:textId="77777777" w:rsidR="005832D5" w:rsidRPr="001C07BC" w:rsidRDefault="005832D5" w:rsidP="005832D5">
          <w:pPr>
            <w:pStyle w:val="TOC2"/>
            <w:tabs>
              <w:tab w:val="right" w:leader="dot" w:pos="9350"/>
            </w:tabs>
            <w:rPr>
              <w:rFonts w:ascii="Calibri" w:hAnsi="Calibri" w:cs="Calibri"/>
              <w:noProof/>
              <w:szCs w:val="24"/>
            </w:rPr>
          </w:pPr>
          <w:r w:rsidRPr="001C07BC">
            <w:rPr>
              <w:rFonts w:ascii="Calibri" w:hAnsi="Calibri" w:cs="Calibri"/>
              <w:szCs w:val="24"/>
            </w:rPr>
            <w:fldChar w:fldCharType="begin"/>
          </w:r>
          <w:r w:rsidRPr="001C07BC">
            <w:rPr>
              <w:rFonts w:ascii="Calibri" w:hAnsi="Calibri" w:cs="Calibri"/>
              <w:szCs w:val="24"/>
            </w:rPr>
            <w:instrText xml:space="preserve"> TOC \o "1-3" \h \z \u </w:instrText>
          </w:r>
          <w:r w:rsidRPr="001C07BC">
            <w:rPr>
              <w:rFonts w:ascii="Calibri" w:hAnsi="Calibri" w:cs="Calibri"/>
              <w:szCs w:val="24"/>
            </w:rPr>
            <w:fldChar w:fldCharType="separate"/>
          </w:r>
          <w:hyperlink w:anchor="_Toc224846299" w:history="1">
            <w:r w:rsidRPr="001C07BC">
              <w:rPr>
                <w:rStyle w:val="Hyperlink"/>
                <w:rFonts w:ascii="Calibri" w:hAnsi="Calibri" w:cs="Calibri"/>
                <w:noProof/>
                <w:szCs w:val="24"/>
              </w:rPr>
              <w:t>Abstract</w:t>
            </w:r>
            <w:r w:rsidRPr="001C07BC">
              <w:rPr>
                <w:rFonts w:ascii="Calibri" w:hAnsi="Calibri" w:cs="Calibri"/>
                <w:noProof/>
                <w:webHidden/>
                <w:szCs w:val="24"/>
              </w:rPr>
              <w:tab/>
            </w:r>
            <w:r w:rsidRPr="001C07BC">
              <w:rPr>
                <w:rFonts w:ascii="Calibri" w:hAnsi="Calibri" w:cs="Calibri"/>
                <w:noProof/>
                <w:webHidden/>
                <w:szCs w:val="24"/>
              </w:rPr>
              <w:fldChar w:fldCharType="begin"/>
            </w:r>
            <w:r w:rsidRPr="001C07BC">
              <w:rPr>
                <w:rFonts w:ascii="Calibri" w:hAnsi="Calibri" w:cs="Calibri"/>
                <w:noProof/>
                <w:webHidden/>
                <w:szCs w:val="24"/>
              </w:rPr>
              <w:instrText xml:space="preserve"> PAGEREF _Toc224846299 \h </w:instrText>
            </w:r>
            <w:r w:rsidRPr="001C07BC">
              <w:rPr>
                <w:rFonts w:ascii="Calibri" w:hAnsi="Calibri" w:cs="Calibri"/>
                <w:noProof/>
                <w:webHidden/>
                <w:szCs w:val="24"/>
              </w:rPr>
            </w:r>
            <w:r w:rsidRPr="001C07BC">
              <w:rPr>
                <w:rFonts w:ascii="Calibri" w:hAnsi="Calibri" w:cs="Calibri"/>
                <w:noProof/>
                <w:webHidden/>
                <w:szCs w:val="24"/>
              </w:rPr>
              <w:fldChar w:fldCharType="separate"/>
            </w:r>
            <w:r w:rsidRPr="001C07BC">
              <w:rPr>
                <w:rFonts w:ascii="Calibri" w:hAnsi="Calibri" w:cs="Calibri"/>
                <w:noProof/>
                <w:webHidden/>
                <w:szCs w:val="24"/>
              </w:rPr>
              <w:t>2</w:t>
            </w:r>
            <w:r w:rsidRPr="001C07BC">
              <w:rPr>
                <w:rFonts w:ascii="Calibri" w:hAnsi="Calibri" w:cs="Calibri"/>
                <w:noProof/>
                <w:webHidden/>
                <w:szCs w:val="24"/>
              </w:rPr>
              <w:fldChar w:fldCharType="end"/>
            </w:r>
          </w:hyperlink>
        </w:p>
        <w:p w14:paraId="6BA4570F" w14:textId="77777777" w:rsidR="005832D5" w:rsidRPr="001C07BC" w:rsidRDefault="005832D5" w:rsidP="005832D5">
          <w:pPr>
            <w:pStyle w:val="TOC2"/>
            <w:tabs>
              <w:tab w:val="right" w:leader="dot" w:pos="9350"/>
            </w:tabs>
            <w:rPr>
              <w:rFonts w:ascii="Calibri" w:hAnsi="Calibri" w:cs="Calibri"/>
              <w:noProof/>
              <w:szCs w:val="24"/>
            </w:rPr>
          </w:pPr>
          <w:hyperlink w:anchor="_Toc224846300" w:history="1">
            <w:r w:rsidRPr="001C07BC">
              <w:rPr>
                <w:rStyle w:val="Hyperlink"/>
                <w:rFonts w:ascii="Calibri" w:hAnsi="Calibri" w:cs="Calibri"/>
                <w:noProof/>
                <w:szCs w:val="24"/>
              </w:rPr>
              <w:t>Introduction</w:t>
            </w:r>
            <w:r w:rsidRPr="001C07BC">
              <w:rPr>
                <w:rFonts w:ascii="Calibri" w:hAnsi="Calibri" w:cs="Calibri"/>
                <w:noProof/>
                <w:webHidden/>
                <w:szCs w:val="24"/>
              </w:rPr>
              <w:tab/>
            </w:r>
            <w:r w:rsidRPr="001C07BC">
              <w:rPr>
                <w:rFonts w:ascii="Calibri" w:hAnsi="Calibri" w:cs="Calibri"/>
                <w:noProof/>
                <w:webHidden/>
                <w:szCs w:val="24"/>
              </w:rPr>
              <w:fldChar w:fldCharType="begin"/>
            </w:r>
            <w:r w:rsidRPr="001C07BC">
              <w:rPr>
                <w:rFonts w:ascii="Calibri" w:hAnsi="Calibri" w:cs="Calibri"/>
                <w:noProof/>
                <w:webHidden/>
                <w:szCs w:val="24"/>
              </w:rPr>
              <w:instrText xml:space="preserve"> PAGEREF _Toc224846300 \h </w:instrText>
            </w:r>
            <w:r w:rsidRPr="001C07BC">
              <w:rPr>
                <w:rFonts w:ascii="Calibri" w:hAnsi="Calibri" w:cs="Calibri"/>
                <w:noProof/>
                <w:webHidden/>
                <w:szCs w:val="24"/>
              </w:rPr>
            </w:r>
            <w:r w:rsidRPr="001C07BC">
              <w:rPr>
                <w:rFonts w:ascii="Calibri" w:hAnsi="Calibri" w:cs="Calibri"/>
                <w:noProof/>
                <w:webHidden/>
                <w:szCs w:val="24"/>
              </w:rPr>
              <w:fldChar w:fldCharType="separate"/>
            </w:r>
            <w:r w:rsidRPr="001C07BC">
              <w:rPr>
                <w:rFonts w:ascii="Calibri" w:hAnsi="Calibri" w:cs="Calibri"/>
                <w:noProof/>
                <w:webHidden/>
                <w:szCs w:val="24"/>
              </w:rPr>
              <w:t>4</w:t>
            </w:r>
            <w:r w:rsidRPr="001C07BC">
              <w:rPr>
                <w:rFonts w:ascii="Calibri" w:hAnsi="Calibri" w:cs="Calibri"/>
                <w:noProof/>
                <w:webHidden/>
                <w:szCs w:val="24"/>
              </w:rPr>
              <w:fldChar w:fldCharType="end"/>
            </w:r>
          </w:hyperlink>
        </w:p>
        <w:p w14:paraId="1AACBB7C" w14:textId="77777777" w:rsidR="005832D5" w:rsidRPr="001C07BC" w:rsidRDefault="005832D5" w:rsidP="005832D5">
          <w:pPr>
            <w:pStyle w:val="TOC2"/>
            <w:tabs>
              <w:tab w:val="right" w:leader="dot" w:pos="9350"/>
            </w:tabs>
            <w:rPr>
              <w:rFonts w:ascii="Calibri" w:hAnsi="Calibri" w:cs="Calibri"/>
              <w:noProof/>
              <w:szCs w:val="24"/>
            </w:rPr>
          </w:pPr>
          <w:hyperlink w:anchor="_Toc224846301" w:history="1">
            <w:r w:rsidRPr="001C07BC">
              <w:rPr>
                <w:rStyle w:val="Hyperlink"/>
                <w:rFonts w:ascii="Calibri" w:hAnsi="Calibri" w:cs="Calibri"/>
                <w:noProof/>
                <w:szCs w:val="24"/>
              </w:rPr>
              <w:t>Literature Review</w:t>
            </w:r>
            <w:r w:rsidRPr="001C07BC">
              <w:rPr>
                <w:rFonts w:ascii="Calibri" w:hAnsi="Calibri" w:cs="Calibri"/>
                <w:noProof/>
                <w:webHidden/>
                <w:szCs w:val="24"/>
              </w:rPr>
              <w:tab/>
            </w:r>
            <w:r w:rsidRPr="001C07BC">
              <w:rPr>
                <w:rFonts w:ascii="Calibri" w:hAnsi="Calibri" w:cs="Calibri"/>
                <w:noProof/>
                <w:webHidden/>
                <w:szCs w:val="24"/>
              </w:rPr>
              <w:fldChar w:fldCharType="begin"/>
            </w:r>
            <w:r w:rsidRPr="001C07BC">
              <w:rPr>
                <w:rFonts w:ascii="Calibri" w:hAnsi="Calibri" w:cs="Calibri"/>
                <w:noProof/>
                <w:webHidden/>
                <w:szCs w:val="24"/>
              </w:rPr>
              <w:instrText xml:space="preserve"> PAGEREF _Toc224846301 \h </w:instrText>
            </w:r>
            <w:r w:rsidRPr="001C07BC">
              <w:rPr>
                <w:rFonts w:ascii="Calibri" w:hAnsi="Calibri" w:cs="Calibri"/>
                <w:noProof/>
                <w:webHidden/>
                <w:szCs w:val="24"/>
              </w:rPr>
            </w:r>
            <w:r w:rsidRPr="001C07BC">
              <w:rPr>
                <w:rFonts w:ascii="Calibri" w:hAnsi="Calibri" w:cs="Calibri"/>
                <w:noProof/>
                <w:webHidden/>
                <w:szCs w:val="24"/>
              </w:rPr>
              <w:fldChar w:fldCharType="separate"/>
            </w:r>
            <w:r w:rsidRPr="001C07BC">
              <w:rPr>
                <w:rFonts w:ascii="Calibri" w:hAnsi="Calibri" w:cs="Calibri"/>
                <w:noProof/>
                <w:webHidden/>
                <w:szCs w:val="24"/>
              </w:rPr>
              <w:t>6</w:t>
            </w:r>
            <w:r w:rsidRPr="001C07BC">
              <w:rPr>
                <w:rFonts w:ascii="Calibri" w:hAnsi="Calibri" w:cs="Calibri"/>
                <w:noProof/>
                <w:webHidden/>
                <w:szCs w:val="24"/>
              </w:rPr>
              <w:fldChar w:fldCharType="end"/>
            </w:r>
          </w:hyperlink>
        </w:p>
        <w:p w14:paraId="6FA14036" w14:textId="77777777" w:rsidR="005832D5" w:rsidRPr="001C07BC" w:rsidRDefault="005832D5" w:rsidP="005832D5">
          <w:pPr>
            <w:pStyle w:val="TOC2"/>
            <w:tabs>
              <w:tab w:val="right" w:leader="dot" w:pos="9350"/>
            </w:tabs>
            <w:rPr>
              <w:rFonts w:ascii="Calibri" w:hAnsi="Calibri" w:cs="Calibri"/>
              <w:noProof/>
              <w:szCs w:val="24"/>
            </w:rPr>
          </w:pPr>
          <w:hyperlink w:anchor="_Toc224846302" w:history="1">
            <w:r w:rsidRPr="001C07BC">
              <w:rPr>
                <w:rStyle w:val="Hyperlink"/>
                <w:rFonts w:ascii="Calibri" w:hAnsi="Calibri" w:cs="Calibri"/>
                <w:noProof/>
                <w:szCs w:val="24"/>
              </w:rPr>
              <w:t>Methodology</w:t>
            </w:r>
            <w:r w:rsidRPr="001C07BC">
              <w:rPr>
                <w:rFonts w:ascii="Calibri" w:hAnsi="Calibri" w:cs="Calibri"/>
                <w:noProof/>
                <w:webHidden/>
                <w:szCs w:val="24"/>
              </w:rPr>
              <w:tab/>
            </w:r>
            <w:r w:rsidRPr="001C07BC">
              <w:rPr>
                <w:rFonts w:ascii="Calibri" w:hAnsi="Calibri" w:cs="Calibri"/>
                <w:noProof/>
                <w:webHidden/>
                <w:szCs w:val="24"/>
              </w:rPr>
              <w:fldChar w:fldCharType="begin"/>
            </w:r>
            <w:r w:rsidRPr="001C07BC">
              <w:rPr>
                <w:rFonts w:ascii="Calibri" w:hAnsi="Calibri" w:cs="Calibri"/>
                <w:noProof/>
                <w:webHidden/>
                <w:szCs w:val="24"/>
              </w:rPr>
              <w:instrText xml:space="preserve"> PAGEREF _Toc224846302 \h </w:instrText>
            </w:r>
            <w:r w:rsidRPr="001C07BC">
              <w:rPr>
                <w:rFonts w:ascii="Calibri" w:hAnsi="Calibri" w:cs="Calibri"/>
                <w:noProof/>
                <w:webHidden/>
                <w:szCs w:val="24"/>
              </w:rPr>
            </w:r>
            <w:r w:rsidRPr="001C07BC">
              <w:rPr>
                <w:rFonts w:ascii="Calibri" w:hAnsi="Calibri" w:cs="Calibri"/>
                <w:noProof/>
                <w:webHidden/>
                <w:szCs w:val="24"/>
              </w:rPr>
              <w:fldChar w:fldCharType="separate"/>
            </w:r>
            <w:r w:rsidRPr="001C07BC">
              <w:rPr>
                <w:rFonts w:ascii="Calibri" w:hAnsi="Calibri" w:cs="Calibri"/>
                <w:noProof/>
                <w:webHidden/>
                <w:szCs w:val="24"/>
              </w:rPr>
              <w:t>9</w:t>
            </w:r>
            <w:r w:rsidRPr="001C07BC">
              <w:rPr>
                <w:rFonts w:ascii="Calibri" w:hAnsi="Calibri" w:cs="Calibri"/>
                <w:noProof/>
                <w:webHidden/>
                <w:szCs w:val="24"/>
              </w:rPr>
              <w:fldChar w:fldCharType="end"/>
            </w:r>
          </w:hyperlink>
        </w:p>
        <w:p w14:paraId="1829525A" w14:textId="77777777" w:rsidR="005832D5" w:rsidRPr="001C07BC" w:rsidRDefault="005832D5" w:rsidP="005832D5">
          <w:pPr>
            <w:pStyle w:val="TOC2"/>
            <w:tabs>
              <w:tab w:val="right" w:leader="dot" w:pos="9350"/>
            </w:tabs>
            <w:rPr>
              <w:rFonts w:ascii="Calibri" w:hAnsi="Calibri" w:cs="Calibri"/>
              <w:noProof/>
              <w:szCs w:val="24"/>
            </w:rPr>
          </w:pPr>
          <w:hyperlink w:anchor="_Toc224846303" w:history="1">
            <w:r w:rsidRPr="001C07BC">
              <w:rPr>
                <w:rStyle w:val="Hyperlink"/>
                <w:rFonts w:ascii="Calibri" w:hAnsi="Calibri" w:cs="Calibri"/>
                <w:noProof/>
                <w:szCs w:val="24"/>
              </w:rPr>
              <w:t>Methodology</w:t>
            </w:r>
            <w:r w:rsidRPr="001C07BC">
              <w:rPr>
                <w:rFonts w:ascii="Calibri" w:hAnsi="Calibri" w:cs="Calibri"/>
                <w:noProof/>
                <w:webHidden/>
                <w:szCs w:val="24"/>
              </w:rPr>
              <w:tab/>
            </w:r>
            <w:r w:rsidRPr="001C07BC">
              <w:rPr>
                <w:rFonts w:ascii="Calibri" w:hAnsi="Calibri" w:cs="Calibri"/>
                <w:noProof/>
                <w:webHidden/>
                <w:szCs w:val="24"/>
              </w:rPr>
              <w:fldChar w:fldCharType="begin"/>
            </w:r>
            <w:r w:rsidRPr="001C07BC">
              <w:rPr>
                <w:rFonts w:ascii="Calibri" w:hAnsi="Calibri" w:cs="Calibri"/>
                <w:noProof/>
                <w:webHidden/>
                <w:szCs w:val="24"/>
              </w:rPr>
              <w:instrText xml:space="preserve"> PAGEREF _Toc224846303 \h </w:instrText>
            </w:r>
            <w:r w:rsidRPr="001C07BC">
              <w:rPr>
                <w:rFonts w:ascii="Calibri" w:hAnsi="Calibri" w:cs="Calibri"/>
                <w:noProof/>
                <w:webHidden/>
                <w:szCs w:val="24"/>
              </w:rPr>
            </w:r>
            <w:r w:rsidRPr="001C07BC">
              <w:rPr>
                <w:rFonts w:ascii="Calibri" w:hAnsi="Calibri" w:cs="Calibri"/>
                <w:noProof/>
                <w:webHidden/>
                <w:szCs w:val="24"/>
              </w:rPr>
              <w:fldChar w:fldCharType="separate"/>
            </w:r>
            <w:r w:rsidRPr="001C07BC">
              <w:rPr>
                <w:rFonts w:ascii="Calibri" w:hAnsi="Calibri" w:cs="Calibri"/>
                <w:noProof/>
                <w:webHidden/>
                <w:szCs w:val="24"/>
              </w:rPr>
              <w:t>11</w:t>
            </w:r>
            <w:r w:rsidRPr="001C07BC">
              <w:rPr>
                <w:rFonts w:ascii="Calibri" w:hAnsi="Calibri" w:cs="Calibri"/>
                <w:noProof/>
                <w:webHidden/>
                <w:szCs w:val="24"/>
              </w:rPr>
              <w:fldChar w:fldCharType="end"/>
            </w:r>
          </w:hyperlink>
        </w:p>
        <w:p w14:paraId="04490E8E" w14:textId="77777777" w:rsidR="005832D5" w:rsidRPr="001C07BC" w:rsidRDefault="005832D5" w:rsidP="005832D5">
          <w:pPr>
            <w:pStyle w:val="TOC2"/>
            <w:tabs>
              <w:tab w:val="right" w:leader="dot" w:pos="9350"/>
            </w:tabs>
            <w:rPr>
              <w:rFonts w:ascii="Calibri" w:hAnsi="Calibri" w:cs="Calibri"/>
              <w:noProof/>
              <w:szCs w:val="24"/>
            </w:rPr>
          </w:pPr>
          <w:hyperlink w:anchor="_Toc224846304" w:history="1">
            <w:r w:rsidRPr="001C07BC">
              <w:rPr>
                <w:rStyle w:val="Hyperlink"/>
                <w:rFonts w:ascii="Calibri" w:hAnsi="Calibri" w:cs="Calibri"/>
                <w:noProof/>
                <w:szCs w:val="24"/>
              </w:rPr>
              <w:t>Findings</w:t>
            </w:r>
            <w:r w:rsidRPr="001C07BC">
              <w:rPr>
                <w:rFonts w:ascii="Calibri" w:hAnsi="Calibri" w:cs="Calibri"/>
                <w:noProof/>
                <w:webHidden/>
                <w:szCs w:val="24"/>
              </w:rPr>
              <w:tab/>
            </w:r>
            <w:r w:rsidRPr="001C07BC">
              <w:rPr>
                <w:rFonts w:ascii="Calibri" w:hAnsi="Calibri" w:cs="Calibri"/>
                <w:noProof/>
                <w:webHidden/>
                <w:szCs w:val="24"/>
              </w:rPr>
              <w:fldChar w:fldCharType="begin"/>
            </w:r>
            <w:r w:rsidRPr="001C07BC">
              <w:rPr>
                <w:rFonts w:ascii="Calibri" w:hAnsi="Calibri" w:cs="Calibri"/>
                <w:noProof/>
                <w:webHidden/>
                <w:szCs w:val="24"/>
              </w:rPr>
              <w:instrText xml:space="preserve"> PAGEREF _Toc224846304 \h </w:instrText>
            </w:r>
            <w:r w:rsidRPr="001C07BC">
              <w:rPr>
                <w:rFonts w:ascii="Calibri" w:hAnsi="Calibri" w:cs="Calibri"/>
                <w:noProof/>
                <w:webHidden/>
                <w:szCs w:val="24"/>
              </w:rPr>
            </w:r>
            <w:r w:rsidRPr="001C07BC">
              <w:rPr>
                <w:rFonts w:ascii="Calibri" w:hAnsi="Calibri" w:cs="Calibri"/>
                <w:noProof/>
                <w:webHidden/>
                <w:szCs w:val="24"/>
              </w:rPr>
              <w:fldChar w:fldCharType="separate"/>
            </w:r>
            <w:r w:rsidRPr="001C07BC">
              <w:rPr>
                <w:rFonts w:ascii="Calibri" w:hAnsi="Calibri" w:cs="Calibri"/>
                <w:noProof/>
                <w:webHidden/>
                <w:szCs w:val="24"/>
              </w:rPr>
              <w:t>13</w:t>
            </w:r>
            <w:r w:rsidRPr="001C07BC">
              <w:rPr>
                <w:rFonts w:ascii="Calibri" w:hAnsi="Calibri" w:cs="Calibri"/>
                <w:noProof/>
                <w:webHidden/>
                <w:szCs w:val="24"/>
              </w:rPr>
              <w:fldChar w:fldCharType="end"/>
            </w:r>
          </w:hyperlink>
        </w:p>
        <w:p w14:paraId="01C0187C" w14:textId="77777777" w:rsidR="005832D5" w:rsidRPr="001C07BC" w:rsidRDefault="005832D5" w:rsidP="005832D5">
          <w:pPr>
            <w:pStyle w:val="TOC2"/>
            <w:tabs>
              <w:tab w:val="right" w:leader="dot" w:pos="9350"/>
            </w:tabs>
            <w:rPr>
              <w:rFonts w:ascii="Calibri" w:hAnsi="Calibri" w:cs="Calibri"/>
              <w:noProof/>
              <w:szCs w:val="24"/>
            </w:rPr>
          </w:pPr>
          <w:hyperlink w:anchor="_Toc224846305" w:history="1">
            <w:r w:rsidRPr="001C07BC">
              <w:rPr>
                <w:rStyle w:val="Hyperlink"/>
                <w:rFonts w:ascii="Calibri" w:hAnsi="Calibri" w:cs="Calibri"/>
                <w:noProof/>
                <w:szCs w:val="24"/>
              </w:rPr>
              <w:t>Discussion</w:t>
            </w:r>
            <w:r w:rsidRPr="001C07BC">
              <w:rPr>
                <w:rFonts w:ascii="Calibri" w:hAnsi="Calibri" w:cs="Calibri"/>
                <w:noProof/>
                <w:webHidden/>
                <w:szCs w:val="24"/>
              </w:rPr>
              <w:tab/>
            </w:r>
            <w:r w:rsidRPr="001C07BC">
              <w:rPr>
                <w:rFonts w:ascii="Calibri" w:hAnsi="Calibri" w:cs="Calibri"/>
                <w:noProof/>
                <w:webHidden/>
                <w:szCs w:val="24"/>
              </w:rPr>
              <w:fldChar w:fldCharType="begin"/>
            </w:r>
            <w:r w:rsidRPr="001C07BC">
              <w:rPr>
                <w:rFonts w:ascii="Calibri" w:hAnsi="Calibri" w:cs="Calibri"/>
                <w:noProof/>
                <w:webHidden/>
                <w:szCs w:val="24"/>
              </w:rPr>
              <w:instrText xml:space="preserve"> PAGEREF _Toc224846305 \h </w:instrText>
            </w:r>
            <w:r w:rsidRPr="001C07BC">
              <w:rPr>
                <w:rFonts w:ascii="Calibri" w:hAnsi="Calibri" w:cs="Calibri"/>
                <w:noProof/>
                <w:webHidden/>
                <w:szCs w:val="24"/>
              </w:rPr>
            </w:r>
            <w:r w:rsidRPr="001C07BC">
              <w:rPr>
                <w:rFonts w:ascii="Calibri" w:hAnsi="Calibri" w:cs="Calibri"/>
                <w:noProof/>
                <w:webHidden/>
                <w:szCs w:val="24"/>
              </w:rPr>
              <w:fldChar w:fldCharType="separate"/>
            </w:r>
            <w:r w:rsidRPr="001C07BC">
              <w:rPr>
                <w:rFonts w:ascii="Calibri" w:hAnsi="Calibri" w:cs="Calibri"/>
                <w:noProof/>
                <w:webHidden/>
                <w:szCs w:val="24"/>
              </w:rPr>
              <w:t>16</w:t>
            </w:r>
            <w:r w:rsidRPr="001C07BC">
              <w:rPr>
                <w:rFonts w:ascii="Calibri" w:hAnsi="Calibri" w:cs="Calibri"/>
                <w:noProof/>
                <w:webHidden/>
                <w:szCs w:val="24"/>
              </w:rPr>
              <w:fldChar w:fldCharType="end"/>
            </w:r>
          </w:hyperlink>
        </w:p>
        <w:p w14:paraId="4177F7AE" w14:textId="77777777" w:rsidR="005832D5" w:rsidRPr="001C07BC" w:rsidRDefault="005832D5" w:rsidP="005832D5">
          <w:pPr>
            <w:pStyle w:val="TOC2"/>
            <w:tabs>
              <w:tab w:val="right" w:leader="dot" w:pos="9350"/>
            </w:tabs>
            <w:rPr>
              <w:rFonts w:ascii="Calibri" w:hAnsi="Calibri" w:cs="Calibri"/>
              <w:noProof/>
              <w:szCs w:val="24"/>
            </w:rPr>
          </w:pPr>
          <w:hyperlink w:anchor="_Toc224846306" w:history="1">
            <w:r w:rsidRPr="001C07BC">
              <w:rPr>
                <w:rStyle w:val="Hyperlink"/>
                <w:rFonts w:ascii="Calibri" w:hAnsi="Calibri" w:cs="Calibri"/>
                <w:noProof/>
                <w:szCs w:val="24"/>
              </w:rPr>
              <w:t>Conclusion</w:t>
            </w:r>
            <w:r w:rsidRPr="001C07BC">
              <w:rPr>
                <w:rFonts w:ascii="Calibri" w:hAnsi="Calibri" w:cs="Calibri"/>
                <w:noProof/>
                <w:webHidden/>
                <w:szCs w:val="24"/>
              </w:rPr>
              <w:tab/>
            </w:r>
            <w:r w:rsidRPr="001C07BC">
              <w:rPr>
                <w:rFonts w:ascii="Calibri" w:hAnsi="Calibri" w:cs="Calibri"/>
                <w:noProof/>
                <w:webHidden/>
                <w:szCs w:val="24"/>
              </w:rPr>
              <w:fldChar w:fldCharType="begin"/>
            </w:r>
            <w:r w:rsidRPr="001C07BC">
              <w:rPr>
                <w:rFonts w:ascii="Calibri" w:hAnsi="Calibri" w:cs="Calibri"/>
                <w:noProof/>
                <w:webHidden/>
                <w:szCs w:val="24"/>
              </w:rPr>
              <w:instrText xml:space="preserve"> PAGEREF _Toc224846306 \h </w:instrText>
            </w:r>
            <w:r w:rsidRPr="001C07BC">
              <w:rPr>
                <w:rFonts w:ascii="Calibri" w:hAnsi="Calibri" w:cs="Calibri"/>
                <w:noProof/>
                <w:webHidden/>
                <w:szCs w:val="24"/>
              </w:rPr>
            </w:r>
            <w:r w:rsidRPr="001C07BC">
              <w:rPr>
                <w:rFonts w:ascii="Calibri" w:hAnsi="Calibri" w:cs="Calibri"/>
                <w:noProof/>
                <w:webHidden/>
                <w:szCs w:val="24"/>
              </w:rPr>
              <w:fldChar w:fldCharType="separate"/>
            </w:r>
            <w:r w:rsidRPr="001C07BC">
              <w:rPr>
                <w:rFonts w:ascii="Calibri" w:hAnsi="Calibri" w:cs="Calibri"/>
                <w:noProof/>
                <w:webHidden/>
                <w:szCs w:val="24"/>
              </w:rPr>
              <w:t>20</w:t>
            </w:r>
            <w:r w:rsidRPr="001C07BC">
              <w:rPr>
                <w:rFonts w:ascii="Calibri" w:hAnsi="Calibri" w:cs="Calibri"/>
                <w:noProof/>
                <w:webHidden/>
                <w:szCs w:val="24"/>
              </w:rPr>
              <w:fldChar w:fldCharType="end"/>
            </w:r>
          </w:hyperlink>
        </w:p>
        <w:p w14:paraId="3265B59E" w14:textId="77777777" w:rsidR="005832D5" w:rsidRPr="001C07BC" w:rsidRDefault="005832D5" w:rsidP="005832D5">
          <w:pPr>
            <w:pStyle w:val="TOC2"/>
            <w:tabs>
              <w:tab w:val="right" w:leader="dot" w:pos="9350"/>
            </w:tabs>
            <w:rPr>
              <w:rFonts w:ascii="Calibri" w:hAnsi="Calibri" w:cs="Calibri"/>
              <w:noProof/>
              <w:szCs w:val="24"/>
            </w:rPr>
          </w:pPr>
          <w:hyperlink w:anchor="_Toc224846307" w:history="1">
            <w:r w:rsidRPr="001C07BC">
              <w:rPr>
                <w:rStyle w:val="Hyperlink"/>
                <w:rFonts w:ascii="Calibri" w:hAnsi="Calibri" w:cs="Calibri"/>
                <w:noProof/>
                <w:szCs w:val="24"/>
              </w:rPr>
              <w:t>References</w:t>
            </w:r>
            <w:r w:rsidRPr="001C07BC">
              <w:rPr>
                <w:rFonts w:ascii="Calibri" w:hAnsi="Calibri" w:cs="Calibri"/>
                <w:noProof/>
                <w:webHidden/>
                <w:szCs w:val="24"/>
              </w:rPr>
              <w:tab/>
            </w:r>
            <w:r w:rsidRPr="001C07BC">
              <w:rPr>
                <w:rFonts w:ascii="Calibri" w:hAnsi="Calibri" w:cs="Calibri"/>
                <w:noProof/>
                <w:webHidden/>
                <w:szCs w:val="24"/>
              </w:rPr>
              <w:fldChar w:fldCharType="begin"/>
            </w:r>
            <w:r w:rsidRPr="001C07BC">
              <w:rPr>
                <w:rFonts w:ascii="Calibri" w:hAnsi="Calibri" w:cs="Calibri"/>
                <w:noProof/>
                <w:webHidden/>
                <w:szCs w:val="24"/>
              </w:rPr>
              <w:instrText xml:space="preserve"> PAGEREF _Toc224846307 \h </w:instrText>
            </w:r>
            <w:r w:rsidRPr="001C07BC">
              <w:rPr>
                <w:rFonts w:ascii="Calibri" w:hAnsi="Calibri" w:cs="Calibri"/>
                <w:noProof/>
                <w:webHidden/>
                <w:szCs w:val="24"/>
              </w:rPr>
            </w:r>
            <w:r w:rsidRPr="001C07BC">
              <w:rPr>
                <w:rFonts w:ascii="Calibri" w:hAnsi="Calibri" w:cs="Calibri"/>
                <w:noProof/>
                <w:webHidden/>
                <w:szCs w:val="24"/>
              </w:rPr>
              <w:fldChar w:fldCharType="separate"/>
            </w:r>
            <w:r w:rsidRPr="001C07BC">
              <w:rPr>
                <w:rFonts w:ascii="Calibri" w:hAnsi="Calibri" w:cs="Calibri"/>
                <w:noProof/>
                <w:webHidden/>
                <w:szCs w:val="24"/>
              </w:rPr>
              <w:t>22</w:t>
            </w:r>
            <w:r w:rsidRPr="001C07BC">
              <w:rPr>
                <w:rFonts w:ascii="Calibri" w:hAnsi="Calibri" w:cs="Calibri"/>
                <w:noProof/>
                <w:webHidden/>
                <w:szCs w:val="24"/>
              </w:rPr>
              <w:fldChar w:fldCharType="end"/>
            </w:r>
          </w:hyperlink>
        </w:p>
        <w:p w14:paraId="02F52BFE" w14:textId="77777777" w:rsidR="005832D5" w:rsidRPr="001C07BC" w:rsidRDefault="005832D5" w:rsidP="005832D5">
          <w:pPr>
            <w:rPr>
              <w:rFonts w:ascii="Calibri" w:hAnsi="Calibri" w:cs="Calibri"/>
              <w:szCs w:val="24"/>
            </w:rPr>
          </w:pPr>
          <w:r w:rsidRPr="001C07BC">
            <w:rPr>
              <w:rFonts w:ascii="Calibri" w:hAnsi="Calibri" w:cs="Calibri"/>
              <w:b/>
              <w:bCs/>
              <w:noProof/>
              <w:szCs w:val="24"/>
            </w:rPr>
            <w:fldChar w:fldCharType="end"/>
          </w:r>
        </w:p>
      </w:sdtContent>
    </w:sdt>
    <w:p w14:paraId="12A56E97" w14:textId="77777777" w:rsidR="005832D5" w:rsidRPr="001C07BC" w:rsidRDefault="005832D5" w:rsidP="005832D5">
      <w:pPr>
        <w:spacing w:line="480" w:lineRule="auto"/>
        <w:rPr>
          <w:rFonts w:ascii="Calibri" w:hAnsi="Calibri" w:cs="Calibri"/>
          <w:b/>
          <w:bCs/>
          <w:szCs w:val="24"/>
        </w:rPr>
      </w:pPr>
    </w:p>
    <w:p w14:paraId="6F905CFD" w14:textId="77777777" w:rsidR="005832D5" w:rsidRPr="001C07BC" w:rsidRDefault="005832D5" w:rsidP="005832D5">
      <w:pPr>
        <w:spacing w:line="480" w:lineRule="auto"/>
        <w:rPr>
          <w:rFonts w:ascii="Calibri" w:hAnsi="Calibri" w:cs="Calibri"/>
          <w:b/>
          <w:bCs/>
          <w:szCs w:val="24"/>
        </w:rPr>
      </w:pPr>
    </w:p>
    <w:p w14:paraId="104C475B" w14:textId="77777777" w:rsidR="005832D5" w:rsidRPr="001C07BC" w:rsidRDefault="005832D5" w:rsidP="005832D5">
      <w:pPr>
        <w:spacing w:line="480" w:lineRule="auto"/>
        <w:rPr>
          <w:rFonts w:ascii="Calibri" w:hAnsi="Calibri" w:cs="Calibri"/>
          <w:b/>
          <w:bCs/>
          <w:szCs w:val="24"/>
        </w:rPr>
      </w:pPr>
    </w:p>
    <w:p w14:paraId="595A21D5" w14:textId="77777777" w:rsidR="005832D5" w:rsidRPr="001C07BC" w:rsidRDefault="005832D5" w:rsidP="005832D5">
      <w:pPr>
        <w:spacing w:line="480" w:lineRule="auto"/>
        <w:rPr>
          <w:rFonts w:ascii="Calibri" w:hAnsi="Calibri" w:cs="Calibri"/>
          <w:b/>
          <w:bCs/>
          <w:szCs w:val="24"/>
        </w:rPr>
      </w:pPr>
    </w:p>
    <w:p w14:paraId="71D0D5EC" w14:textId="77777777" w:rsidR="005832D5" w:rsidRPr="001C07BC" w:rsidRDefault="005832D5" w:rsidP="005832D5">
      <w:pPr>
        <w:spacing w:line="480" w:lineRule="auto"/>
        <w:rPr>
          <w:rFonts w:ascii="Calibri" w:hAnsi="Calibri" w:cs="Calibri"/>
          <w:b/>
          <w:bCs/>
          <w:szCs w:val="24"/>
        </w:rPr>
      </w:pPr>
    </w:p>
    <w:p w14:paraId="73ABAE00" w14:textId="77777777" w:rsidR="005832D5" w:rsidRPr="001C07BC" w:rsidRDefault="005832D5" w:rsidP="005832D5">
      <w:pPr>
        <w:spacing w:line="480" w:lineRule="auto"/>
        <w:rPr>
          <w:rFonts w:ascii="Calibri" w:hAnsi="Calibri" w:cs="Calibri"/>
          <w:b/>
          <w:bCs/>
          <w:szCs w:val="24"/>
        </w:rPr>
      </w:pPr>
    </w:p>
    <w:p w14:paraId="1C3F2C2A" w14:textId="77777777" w:rsidR="005832D5" w:rsidRPr="001C07BC" w:rsidRDefault="005832D5" w:rsidP="005832D5">
      <w:pPr>
        <w:spacing w:line="480" w:lineRule="auto"/>
        <w:rPr>
          <w:rFonts w:ascii="Calibri" w:hAnsi="Calibri" w:cs="Calibri"/>
          <w:b/>
          <w:bCs/>
          <w:szCs w:val="24"/>
        </w:rPr>
      </w:pPr>
    </w:p>
    <w:p w14:paraId="3E8E0BF8" w14:textId="77777777" w:rsidR="005832D5" w:rsidRPr="001C07BC" w:rsidRDefault="005832D5" w:rsidP="005832D5">
      <w:pPr>
        <w:spacing w:line="480" w:lineRule="auto"/>
        <w:rPr>
          <w:rFonts w:ascii="Calibri" w:hAnsi="Calibri" w:cs="Calibri"/>
          <w:b/>
          <w:bCs/>
          <w:szCs w:val="24"/>
        </w:rPr>
      </w:pPr>
    </w:p>
    <w:p w14:paraId="6A6DF239" w14:textId="77777777" w:rsidR="005832D5" w:rsidRPr="001C07BC" w:rsidRDefault="005832D5" w:rsidP="005832D5">
      <w:pPr>
        <w:spacing w:line="480" w:lineRule="auto"/>
        <w:rPr>
          <w:rFonts w:ascii="Calibri" w:hAnsi="Calibri" w:cs="Calibri"/>
          <w:b/>
          <w:bCs/>
          <w:szCs w:val="24"/>
        </w:rPr>
      </w:pPr>
    </w:p>
    <w:p w14:paraId="45FB942E" w14:textId="77777777" w:rsidR="005832D5" w:rsidRPr="001C07BC" w:rsidRDefault="005832D5" w:rsidP="005832D5">
      <w:pPr>
        <w:spacing w:line="480" w:lineRule="auto"/>
        <w:rPr>
          <w:rFonts w:ascii="Calibri" w:hAnsi="Calibri" w:cs="Calibri"/>
          <w:szCs w:val="24"/>
        </w:rPr>
      </w:pPr>
    </w:p>
    <w:p w14:paraId="419B1114"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lastRenderedPageBreak/>
        <w:t>Introduction</w:t>
      </w:r>
    </w:p>
    <w:p w14:paraId="74EB0068"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 xml:space="preserve">Accounting has grown far beyond mere record keeping to an elaborate process that aids in strategic decision making in the contemporary business world. The main accounting equation, Assets = Liabilities + Owners Equity, is at the </w:t>
      </w:r>
      <w:proofErr w:type="spellStart"/>
      <w:r w:rsidRPr="001C07BC">
        <w:rPr>
          <w:rFonts w:ascii="Calibri" w:hAnsi="Calibri" w:cs="Calibri"/>
          <w:szCs w:val="24"/>
        </w:rPr>
        <w:t>center</w:t>
      </w:r>
      <w:proofErr w:type="spellEnd"/>
      <w:r w:rsidRPr="001C07BC">
        <w:rPr>
          <w:rFonts w:ascii="Calibri" w:hAnsi="Calibri" w:cs="Calibri"/>
          <w:szCs w:val="24"/>
        </w:rPr>
        <w:t xml:space="preserve"> of accounting and forms the structural basis of financial reporting. Nevertheless, with the growth of global markets and the increased sophistication of financial transactions, common accounting conceptions have changed significantly to remain relevant and dependable (</w:t>
      </w:r>
      <w:proofErr w:type="spellStart"/>
      <w:r w:rsidRPr="001C07BC">
        <w:rPr>
          <w:rFonts w:ascii="Calibri" w:hAnsi="Calibri" w:cs="Calibri"/>
          <w:szCs w:val="24"/>
        </w:rPr>
        <w:t>Kieso</w:t>
      </w:r>
      <w:proofErr w:type="spellEnd"/>
      <w:r w:rsidRPr="001C07BC">
        <w:rPr>
          <w:rFonts w:ascii="Calibri" w:hAnsi="Calibri" w:cs="Calibri"/>
          <w:szCs w:val="24"/>
        </w:rPr>
        <w:t xml:space="preserve"> et al., 2020). Modern accounting has adopted sophisticated metrical tools, regulatory standards, and ethical factors to address the needs of various parties.</w:t>
      </w:r>
    </w:p>
    <w:p w14:paraId="767B954E"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Among the most notable changes in contemporary accounting is the introduction of global standards like International Financial Reporting Standards (IFRS), which are designed to promote comparability and transparency in international markets. Generally Accepted Accounting Principles (GAAP) dominate in the United States, however, provide a more rules-based approach. These framework disparities have significant implications in financial reporting and investment decision making (Barth et al., 2012). Moreover, corporate governance has emerged as an important component in upholding financial information integrity, as effective governance systems help in deterring fraud and enhancing accountability (Bushman and Smith, 2001).</w:t>
      </w:r>
    </w:p>
    <w:p w14:paraId="7E1BD787"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 xml:space="preserve">Moreover, the connection between financial statements - balance sheet, income statement, and cash flow statement- offers a holistic picture of financial performance and position of an organization. Fair-value accounting, asset impairment, and off-balance-sheet funding are </w:t>
      </w:r>
      <w:r w:rsidRPr="001C07BC">
        <w:rPr>
          <w:rFonts w:ascii="Calibri" w:hAnsi="Calibri" w:cs="Calibri"/>
          <w:szCs w:val="24"/>
        </w:rPr>
        <w:lastRenderedPageBreak/>
        <w:t>examples of advanced accounting practices that also demonstrate the growing complexity of financial reporting. Although these ideas improve relevance, they also create issues regarding measurement reliability and transparency (Penman, 2007).</w:t>
      </w:r>
    </w:p>
    <w:p w14:paraId="0D286289"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In sum, these emerging accounting principles must be comprehended to interpret financial health, provide ethical processes, and to facilitate sound business decision-making in a complex global economy.</w:t>
      </w:r>
    </w:p>
    <w:p w14:paraId="6158EB6C" w14:textId="77777777" w:rsidR="001C07BC" w:rsidRPr="001C07BC" w:rsidRDefault="001C07BC" w:rsidP="001C07BC">
      <w:pPr>
        <w:spacing w:line="480" w:lineRule="auto"/>
        <w:rPr>
          <w:rFonts w:ascii="Calibri" w:hAnsi="Calibri" w:cs="Calibri"/>
          <w:szCs w:val="24"/>
        </w:rPr>
      </w:pPr>
    </w:p>
    <w:p w14:paraId="2B4C7D48" w14:textId="77777777" w:rsidR="001C07BC" w:rsidRPr="001C07BC" w:rsidRDefault="001C07BC" w:rsidP="001C07BC">
      <w:pPr>
        <w:spacing w:line="480" w:lineRule="auto"/>
        <w:rPr>
          <w:rFonts w:ascii="Calibri" w:hAnsi="Calibri" w:cs="Calibri"/>
          <w:szCs w:val="24"/>
        </w:rPr>
      </w:pPr>
    </w:p>
    <w:p w14:paraId="306EEDFA" w14:textId="77777777" w:rsidR="001C07BC" w:rsidRPr="001C07BC" w:rsidRDefault="001C07BC" w:rsidP="001C07BC">
      <w:pPr>
        <w:spacing w:line="480" w:lineRule="auto"/>
        <w:rPr>
          <w:rFonts w:ascii="Calibri" w:hAnsi="Calibri" w:cs="Calibri"/>
          <w:szCs w:val="24"/>
        </w:rPr>
      </w:pPr>
    </w:p>
    <w:p w14:paraId="2AAC59DA" w14:textId="77777777" w:rsidR="001C07BC" w:rsidRPr="001C07BC" w:rsidRDefault="001C07BC" w:rsidP="001C07BC">
      <w:pPr>
        <w:spacing w:line="480" w:lineRule="auto"/>
        <w:rPr>
          <w:rFonts w:ascii="Calibri" w:hAnsi="Calibri" w:cs="Calibri"/>
          <w:szCs w:val="24"/>
        </w:rPr>
      </w:pPr>
    </w:p>
    <w:p w14:paraId="30FFC55B" w14:textId="77777777" w:rsidR="001C07BC" w:rsidRPr="001C07BC" w:rsidRDefault="001C07BC" w:rsidP="001C07BC">
      <w:pPr>
        <w:spacing w:line="480" w:lineRule="auto"/>
        <w:rPr>
          <w:rFonts w:ascii="Calibri" w:hAnsi="Calibri" w:cs="Calibri"/>
          <w:szCs w:val="24"/>
        </w:rPr>
      </w:pPr>
    </w:p>
    <w:p w14:paraId="5F4300A2" w14:textId="77777777" w:rsidR="001C07BC" w:rsidRPr="001C07BC" w:rsidRDefault="001C07BC" w:rsidP="001C07BC">
      <w:pPr>
        <w:spacing w:line="480" w:lineRule="auto"/>
        <w:rPr>
          <w:rFonts w:ascii="Calibri" w:hAnsi="Calibri" w:cs="Calibri"/>
          <w:szCs w:val="24"/>
        </w:rPr>
      </w:pPr>
    </w:p>
    <w:p w14:paraId="287C391E" w14:textId="77777777" w:rsidR="001C07BC" w:rsidRPr="001C07BC" w:rsidRDefault="001C07BC" w:rsidP="001C07BC">
      <w:pPr>
        <w:spacing w:line="480" w:lineRule="auto"/>
        <w:rPr>
          <w:rFonts w:ascii="Calibri" w:hAnsi="Calibri" w:cs="Calibri"/>
          <w:szCs w:val="24"/>
        </w:rPr>
      </w:pPr>
    </w:p>
    <w:p w14:paraId="40A80DD0" w14:textId="77777777" w:rsidR="001C07BC" w:rsidRPr="001C07BC" w:rsidRDefault="001C07BC" w:rsidP="001C07BC">
      <w:pPr>
        <w:spacing w:line="480" w:lineRule="auto"/>
        <w:rPr>
          <w:rFonts w:ascii="Calibri" w:hAnsi="Calibri" w:cs="Calibri"/>
          <w:szCs w:val="24"/>
        </w:rPr>
      </w:pPr>
    </w:p>
    <w:p w14:paraId="0A26BD35" w14:textId="77777777" w:rsidR="001C07BC" w:rsidRPr="001C07BC" w:rsidRDefault="001C07BC" w:rsidP="001C07BC">
      <w:pPr>
        <w:spacing w:line="480" w:lineRule="auto"/>
        <w:rPr>
          <w:rFonts w:ascii="Calibri" w:hAnsi="Calibri" w:cs="Calibri"/>
          <w:szCs w:val="24"/>
        </w:rPr>
      </w:pPr>
    </w:p>
    <w:p w14:paraId="0B35492A" w14:textId="77777777" w:rsidR="001C07BC" w:rsidRPr="001C07BC" w:rsidRDefault="001C07BC" w:rsidP="001C07BC">
      <w:pPr>
        <w:spacing w:line="480" w:lineRule="auto"/>
        <w:rPr>
          <w:rFonts w:ascii="Calibri" w:hAnsi="Calibri" w:cs="Calibri"/>
          <w:szCs w:val="24"/>
        </w:rPr>
      </w:pPr>
    </w:p>
    <w:p w14:paraId="1644787F" w14:textId="77777777" w:rsidR="001C07BC" w:rsidRPr="001C07BC" w:rsidRDefault="001C07BC" w:rsidP="001C07BC">
      <w:pPr>
        <w:spacing w:line="480" w:lineRule="auto"/>
        <w:rPr>
          <w:rFonts w:ascii="Calibri" w:hAnsi="Calibri" w:cs="Calibri"/>
          <w:szCs w:val="24"/>
        </w:rPr>
      </w:pPr>
    </w:p>
    <w:p w14:paraId="5BCF685E" w14:textId="77777777" w:rsidR="001C07BC" w:rsidRPr="001C07BC" w:rsidRDefault="001C07BC" w:rsidP="001C07BC">
      <w:pPr>
        <w:spacing w:line="480" w:lineRule="auto"/>
        <w:rPr>
          <w:rFonts w:ascii="Calibri" w:hAnsi="Calibri" w:cs="Calibri"/>
          <w:szCs w:val="24"/>
        </w:rPr>
      </w:pPr>
    </w:p>
    <w:p w14:paraId="3EE3BBE2" w14:textId="77777777" w:rsidR="001C07BC" w:rsidRPr="001C07BC" w:rsidRDefault="001C07BC" w:rsidP="001C07BC">
      <w:pPr>
        <w:spacing w:line="480" w:lineRule="auto"/>
        <w:rPr>
          <w:rFonts w:ascii="Calibri" w:hAnsi="Calibri" w:cs="Calibri"/>
          <w:szCs w:val="24"/>
        </w:rPr>
      </w:pPr>
    </w:p>
    <w:p w14:paraId="41ABAFDB" w14:textId="77777777" w:rsidR="001C07BC" w:rsidRPr="001C07BC" w:rsidRDefault="001C07BC" w:rsidP="001C07BC">
      <w:pPr>
        <w:spacing w:line="480" w:lineRule="auto"/>
        <w:rPr>
          <w:rFonts w:ascii="Calibri" w:hAnsi="Calibri" w:cs="Calibri"/>
          <w:szCs w:val="24"/>
        </w:rPr>
      </w:pPr>
    </w:p>
    <w:p w14:paraId="72864DD5" w14:textId="77777777" w:rsidR="001C07BC" w:rsidRPr="001C07BC" w:rsidRDefault="001C07BC" w:rsidP="001C07BC">
      <w:pPr>
        <w:spacing w:line="480" w:lineRule="auto"/>
        <w:rPr>
          <w:rFonts w:ascii="Calibri" w:hAnsi="Calibri" w:cs="Calibri"/>
          <w:szCs w:val="24"/>
        </w:rPr>
      </w:pPr>
    </w:p>
    <w:p w14:paraId="2564C616" w14:textId="77777777" w:rsidR="001C07BC" w:rsidRPr="001C07BC" w:rsidRDefault="001C07BC" w:rsidP="001C07BC">
      <w:pPr>
        <w:spacing w:line="480" w:lineRule="auto"/>
        <w:rPr>
          <w:rFonts w:ascii="Calibri" w:hAnsi="Calibri" w:cs="Calibri"/>
          <w:szCs w:val="24"/>
        </w:rPr>
      </w:pPr>
    </w:p>
    <w:p w14:paraId="26100E70"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Literature Review</w:t>
      </w:r>
    </w:p>
    <w:p w14:paraId="5106AD5D"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The development of accounting theory is a manifestation of the sophistication of business environments and the need to promote transparency, comparability, and reliability of financial reporting. The long-standing foundation of financial reporting has been traditional accounting concepts, especially, the accounting equation (Assets = Liabilities + Owner of Equity). Scholars posit, however, that this framework has been broadly extended to encompass contemporary financial instruments, international transactions, and regulatory demands (</w:t>
      </w:r>
      <w:proofErr w:type="spellStart"/>
      <w:r w:rsidRPr="001C07BC">
        <w:rPr>
          <w:rFonts w:ascii="Calibri" w:hAnsi="Calibri" w:cs="Calibri"/>
          <w:szCs w:val="24"/>
        </w:rPr>
        <w:t>Kieso</w:t>
      </w:r>
      <w:proofErr w:type="spellEnd"/>
      <w:r w:rsidRPr="001C07BC">
        <w:rPr>
          <w:rFonts w:ascii="Calibri" w:hAnsi="Calibri" w:cs="Calibri"/>
          <w:szCs w:val="24"/>
        </w:rPr>
        <w:t xml:space="preserve"> et al., 2020). The reorientation of historical cost-based accounting towards more market-oriented accounting illustrates the dynamic aspect of accounting theory.</w:t>
      </w:r>
    </w:p>
    <w:p w14:paraId="083597FD"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 xml:space="preserve">The shift to International Financial Reporting Standards (IFRS) and the comparison with Generally Accepted Accounting Principles (GAAP) is one of the most widely debated developments in the context of the accounting literature. It is commonly said that IFRS represents a framework where both flexibility and professional judgment are more tolerated, as compared to GAAP, which is more rules-oriented and offers specific guidelines in dealing with </w:t>
      </w:r>
      <w:proofErr w:type="gramStart"/>
      <w:r w:rsidRPr="001C07BC">
        <w:rPr>
          <w:rFonts w:ascii="Calibri" w:hAnsi="Calibri" w:cs="Calibri"/>
          <w:szCs w:val="24"/>
        </w:rPr>
        <w:t>particular situations</w:t>
      </w:r>
      <w:proofErr w:type="gramEnd"/>
      <w:r w:rsidRPr="001C07BC">
        <w:rPr>
          <w:rFonts w:ascii="Calibri" w:hAnsi="Calibri" w:cs="Calibri"/>
          <w:szCs w:val="24"/>
        </w:rPr>
        <w:t xml:space="preserve"> (Barth et al., 2012). Studies indicate that the adoption of IFRS enhances the quality of financial reporting by improving comparability and minimizing information asymmetry </w:t>
      </w:r>
      <w:r w:rsidRPr="001C07BC">
        <w:rPr>
          <w:rFonts w:ascii="Calibri" w:hAnsi="Calibri" w:cs="Calibri"/>
          <w:szCs w:val="24"/>
        </w:rPr>
        <w:lastRenderedPageBreak/>
        <w:t>among investors (Barth et al., 2012). Critics claim, however, that the greater dependence on judgment under IFRS could result in inconsistencies and possible manipulation unless it is underpinned by effective governance structures (Soderstrom and Sun, 2007).</w:t>
      </w:r>
    </w:p>
    <w:p w14:paraId="0B14782A"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Corporate governance has become a theme in accounting literature, especially when it comes to financial transparency and ethical reporting. Bushman and Smith (2001) assert that quality of financial accounting information is essential in corporate governance because it helps to minimise agency problems between managers and shareholders. Proper governance frameworks such as independent boards and audit committees can lead to better financial reporting and lower risk of fraud. Likewise, Healy and Palepu (2001) emphasize that disclosure practices and regulatory supervision play a crucial role in overcoming information asymmetry and increasing investor confidence. Governance and accounting practices are thus essential in upholding the integrity of financial systems.</w:t>
      </w:r>
    </w:p>
    <w:p w14:paraId="2B52A007"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A second important field of study is the relatedness of financial statements. Balance sheet, income statement, and cash flow statement are not separate reports, but are related entities that work together to give a complete picture of the financial status of an organization. According to Penman (2007), knowledge of such relationships is critical to assessing firm performance and predicting future cash flows. An example is that net income in the income statement directly influences retained earnings in the balance sheet, and cash flow statements allow us to understand liquidity and operational efficiency. Such interconnectedness increases the analytical value of financial reports and facilitates more informed decision-making.</w:t>
      </w:r>
    </w:p>
    <w:p w14:paraId="1BD1EBEF"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lastRenderedPageBreak/>
        <w:t xml:space="preserve">The literature also indicates the increasing significance of advanced accounting concepts like fair value accounting. In some situations, fair value measurement, representing the prevailing market conditions, is more appropriate than historical cost accounting, especially when dealing with financial instruments (Penman, 2007). Yet, its predictability has been doubted, particularly when the market is volatile. According to critics, fair value accounting may result in subjectivity and greater volatility in earnings, which may be misleading to stakeholders (Laux &amp; </w:t>
      </w:r>
      <w:proofErr w:type="spellStart"/>
      <w:r w:rsidRPr="001C07BC">
        <w:rPr>
          <w:rFonts w:ascii="Calibri" w:hAnsi="Calibri" w:cs="Calibri"/>
          <w:szCs w:val="24"/>
        </w:rPr>
        <w:t>Leuz</w:t>
      </w:r>
      <w:proofErr w:type="spellEnd"/>
      <w:r w:rsidRPr="001C07BC">
        <w:rPr>
          <w:rFonts w:ascii="Calibri" w:hAnsi="Calibri" w:cs="Calibri"/>
          <w:szCs w:val="24"/>
        </w:rPr>
        <w:t xml:space="preserve">, 2009). </w:t>
      </w:r>
      <w:proofErr w:type="gramStart"/>
      <w:r w:rsidRPr="001C07BC">
        <w:rPr>
          <w:rFonts w:ascii="Calibri" w:hAnsi="Calibri" w:cs="Calibri"/>
          <w:szCs w:val="24"/>
        </w:rPr>
        <w:t>In spite of</w:t>
      </w:r>
      <w:proofErr w:type="gramEnd"/>
      <w:r w:rsidRPr="001C07BC">
        <w:rPr>
          <w:rFonts w:ascii="Calibri" w:hAnsi="Calibri" w:cs="Calibri"/>
          <w:szCs w:val="24"/>
        </w:rPr>
        <w:t xml:space="preserve"> these issues, supporters assert that fair value offers information that is timely and decision-useful, especially in dynamic financial markets.</w:t>
      </w:r>
    </w:p>
    <w:p w14:paraId="5F54FCED"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Another important theme in accounting research is asset impairment. Impairment accounting guarantees that assets are not reported at values that are higher than recoverable amounts and thus improve the financial statements. Research shows that impairment testing enhances the relevance of financial information, but is also subject to managerial discretion, which can be applied opportunistically (</w:t>
      </w:r>
      <w:proofErr w:type="spellStart"/>
      <w:r w:rsidRPr="001C07BC">
        <w:rPr>
          <w:rFonts w:ascii="Calibri" w:hAnsi="Calibri" w:cs="Calibri"/>
          <w:szCs w:val="24"/>
        </w:rPr>
        <w:t>Ramanna</w:t>
      </w:r>
      <w:proofErr w:type="spellEnd"/>
      <w:r w:rsidRPr="001C07BC">
        <w:rPr>
          <w:rFonts w:ascii="Calibri" w:hAnsi="Calibri" w:cs="Calibri"/>
          <w:szCs w:val="24"/>
        </w:rPr>
        <w:t xml:space="preserve"> &amp; Watts, 2012). This underscores the importance of strong auditory and regulatory controls, to secure the faithful presentation of financial information.</w:t>
      </w:r>
    </w:p>
    <w:p w14:paraId="5A77E66A"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Another area of interest has been off-balance-sheet financing because of the effects on financial transparency. This enables firms to leave some liabilities and assets off their balance sheets which can distort the actual financial status of the firm. The fall of Enron is frequently mentioned as a shining example of what may go wrong with off-balance-sheet arrangements, and it resulted in stricter regulation and reform (Healy and Palepu, 2003). Newer standards, including IFRS 16 on leases, have sought to enhance transparency by mandating the recognition of previously off-balance-sheet items.</w:t>
      </w:r>
    </w:p>
    <w:p w14:paraId="44CF53F0" w14:textId="77777777" w:rsidR="001C07BC" w:rsidRPr="001C07BC" w:rsidRDefault="001C07BC" w:rsidP="001C07BC">
      <w:pPr>
        <w:spacing w:line="480" w:lineRule="auto"/>
        <w:rPr>
          <w:rFonts w:ascii="Calibri" w:hAnsi="Calibri" w:cs="Calibri"/>
          <w:szCs w:val="24"/>
        </w:rPr>
      </w:pPr>
      <w:proofErr w:type="gramStart"/>
      <w:r w:rsidRPr="001C07BC">
        <w:rPr>
          <w:rFonts w:ascii="Calibri" w:hAnsi="Calibri" w:cs="Calibri"/>
          <w:szCs w:val="24"/>
        </w:rPr>
        <w:lastRenderedPageBreak/>
        <w:t>On the whole</w:t>
      </w:r>
      <w:proofErr w:type="gramEnd"/>
      <w:r w:rsidRPr="001C07BC">
        <w:rPr>
          <w:rFonts w:ascii="Calibri" w:hAnsi="Calibri" w:cs="Calibri"/>
          <w:szCs w:val="24"/>
        </w:rPr>
        <w:t>, the literature suggests that the necessity to reconcile relevance and reliability and meet the challenge of globalization and financial innovation informs modern accounting practices. Although some frameworks like IFRS have enhanced comparability, their effectiveness is influenced by enforcement, governance, and ethical standards. Advanced accounting principles, such as fair value measurement, impairment, and off-balance-sheet financing, add value to the informational content of financial statements yet present complexities that should be highly regulated and professional judgmental. Therefore, modern accounting theory remains dynamic and responsive to varying economic environments, technology, and stakeholder demands.</w:t>
      </w:r>
    </w:p>
    <w:p w14:paraId="60D3F973" w14:textId="77777777" w:rsidR="001C07BC" w:rsidRPr="001C07BC" w:rsidRDefault="001C07BC" w:rsidP="001C07BC">
      <w:pPr>
        <w:spacing w:line="480" w:lineRule="auto"/>
        <w:rPr>
          <w:rFonts w:ascii="Calibri" w:hAnsi="Calibri" w:cs="Calibri"/>
          <w:szCs w:val="24"/>
        </w:rPr>
      </w:pPr>
    </w:p>
    <w:p w14:paraId="3F1593C2"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Methodology</w:t>
      </w:r>
    </w:p>
    <w:p w14:paraId="39D2514B"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 xml:space="preserve">This research aims to critically </w:t>
      </w:r>
      <w:proofErr w:type="spellStart"/>
      <w:r w:rsidRPr="001C07BC">
        <w:rPr>
          <w:rFonts w:ascii="Calibri" w:hAnsi="Calibri" w:cs="Calibri"/>
          <w:szCs w:val="24"/>
        </w:rPr>
        <w:t>analyze</w:t>
      </w:r>
      <w:proofErr w:type="spellEnd"/>
      <w:r w:rsidRPr="001C07BC">
        <w:rPr>
          <w:rFonts w:ascii="Calibri" w:hAnsi="Calibri" w:cs="Calibri"/>
          <w:szCs w:val="24"/>
        </w:rPr>
        <w:t xml:space="preserve"> higher-order theoretical concepts of accounting, and the way these concepts are applied in contemporary business practices using a qualitative research methodology. A qualitative design is deemed suitable because the study aims at examining existing theories, frameworks, and practices instead of gathering numerical evidence. The research mainly depends on secondary sources in the form of peer-reviewed journal articles, academic textbooks, and the authoritative accounting standards provided by regulatory bodies like the International Accounting Standards Board (IASB) and the Financial Accounting Standards Board (FASB).</w:t>
      </w:r>
    </w:p>
    <w:p w14:paraId="54857F97"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 xml:space="preserve">The study adheres to a systematic literature review approach to locate, appraise, and synthesize academic contributions on important accounting concepts. The selection of sources was based </w:t>
      </w:r>
      <w:r w:rsidRPr="001C07BC">
        <w:rPr>
          <w:rFonts w:ascii="Calibri" w:hAnsi="Calibri" w:cs="Calibri"/>
          <w:szCs w:val="24"/>
        </w:rPr>
        <w:lastRenderedPageBreak/>
        <w:t>on their relevance, credibility, and contribution to the field of accounting theory and practice. To find scholarly articles, databases like Google Scholar, JSTOR, and ScienceDirect were searched, with a focus on recent publications to guarantee the representation of modern views. Foundational knowledge and theoretical background were also provided with seminal works. Search terms were as follows: accounting equation evolution, IFRS vs GAAP, corporate governance in accounting, fair value accounting, and off-balance-sheet financing.</w:t>
      </w:r>
    </w:p>
    <w:p w14:paraId="207C996D"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 xml:space="preserve">To guarantee reliability and validity, the study utilizes a critical analysis framework. This includes the comparison of various perspectives provided in the literature, uncovering consistency and contradiction, and assessing the implication of various accounting practices. IFRS and GAAP are comparatively </w:t>
      </w:r>
      <w:proofErr w:type="spellStart"/>
      <w:r w:rsidRPr="001C07BC">
        <w:rPr>
          <w:rFonts w:ascii="Calibri" w:hAnsi="Calibri" w:cs="Calibri"/>
          <w:szCs w:val="24"/>
        </w:rPr>
        <w:t>analyzed</w:t>
      </w:r>
      <w:proofErr w:type="spellEnd"/>
      <w:r w:rsidRPr="001C07BC">
        <w:rPr>
          <w:rFonts w:ascii="Calibri" w:hAnsi="Calibri" w:cs="Calibri"/>
          <w:szCs w:val="24"/>
        </w:rPr>
        <w:t xml:space="preserve"> based on their conceptual frameworks, application guidelines, and reported effects on the quality of financial reporting. Likewise, the issue of corporate governance is evaluated by </w:t>
      </w:r>
      <w:proofErr w:type="spellStart"/>
      <w:r w:rsidRPr="001C07BC">
        <w:rPr>
          <w:rFonts w:ascii="Calibri" w:hAnsi="Calibri" w:cs="Calibri"/>
          <w:szCs w:val="24"/>
        </w:rPr>
        <w:t>analyzing</w:t>
      </w:r>
      <w:proofErr w:type="spellEnd"/>
      <w:r w:rsidRPr="001C07BC">
        <w:rPr>
          <w:rFonts w:ascii="Calibri" w:hAnsi="Calibri" w:cs="Calibri"/>
          <w:szCs w:val="24"/>
        </w:rPr>
        <w:t xml:space="preserve"> the academic discourse on transparency, accountability, and ethical practices.</w:t>
      </w:r>
    </w:p>
    <w:p w14:paraId="6716AEB5"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A conceptual analysis of financial statements is also included in the methodology, with emphasis on the relationship among the balance sheet, income statement, and cash flow statement. This is done through synthesis of theoretical explanations and practical examples available in the literature. Moreover, further accounting principles like fair value measurement, asset impairment and off-balance-sheet financing are discussed based on case-studies based on previous research and real businesses.</w:t>
      </w:r>
    </w:p>
    <w:p w14:paraId="6C3933DD"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 xml:space="preserve">A weakness of this methodology is that it depends on secondary data, which can be biased by the original studies. Moreover, there was no primary data collection, so the results are </w:t>
      </w:r>
      <w:r w:rsidRPr="001C07BC">
        <w:rPr>
          <w:rFonts w:ascii="Calibri" w:hAnsi="Calibri" w:cs="Calibri"/>
          <w:szCs w:val="24"/>
        </w:rPr>
        <w:lastRenderedPageBreak/>
        <w:t xml:space="preserve">interpretative instead of empirical. Nevertheless, this weakness is addressed through an extensive selection of credible and peer reviewed materials </w:t>
      </w:r>
      <w:proofErr w:type="gramStart"/>
      <w:r w:rsidRPr="001C07BC">
        <w:rPr>
          <w:rFonts w:ascii="Calibri" w:hAnsi="Calibri" w:cs="Calibri"/>
          <w:szCs w:val="24"/>
        </w:rPr>
        <w:t>in order to</w:t>
      </w:r>
      <w:proofErr w:type="gramEnd"/>
      <w:r w:rsidRPr="001C07BC">
        <w:rPr>
          <w:rFonts w:ascii="Calibri" w:hAnsi="Calibri" w:cs="Calibri"/>
          <w:szCs w:val="24"/>
        </w:rPr>
        <w:t xml:space="preserve"> deliver a balanced and exhaustive analysis.</w:t>
      </w:r>
    </w:p>
    <w:p w14:paraId="69878484"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In general, this approach offers a systematic and orderly way of examining more advanced accounting concepts and allows a critical assessment of their theoretical underpinnings and the way they are used in contemporary business settings.</w:t>
      </w:r>
    </w:p>
    <w:p w14:paraId="7DE8A946" w14:textId="77777777" w:rsidR="001C07BC" w:rsidRDefault="001C07BC" w:rsidP="001C07BC">
      <w:pPr>
        <w:spacing w:line="480" w:lineRule="auto"/>
        <w:rPr>
          <w:rFonts w:ascii="Calibri" w:hAnsi="Calibri" w:cs="Calibri"/>
          <w:szCs w:val="24"/>
        </w:rPr>
      </w:pPr>
    </w:p>
    <w:p w14:paraId="6C70CAC3" w14:textId="77777777" w:rsidR="001C07BC" w:rsidRDefault="001C07BC" w:rsidP="001C07BC">
      <w:pPr>
        <w:spacing w:line="480" w:lineRule="auto"/>
        <w:rPr>
          <w:rFonts w:ascii="Calibri" w:hAnsi="Calibri" w:cs="Calibri"/>
          <w:szCs w:val="24"/>
        </w:rPr>
      </w:pPr>
    </w:p>
    <w:p w14:paraId="58DA3CCD" w14:textId="77777777" w:rsidR="001C07BC" w:rsidRDefault="001C07BC" w:rsidP="001C07BC">
      <w:pPr>
        <w:spacing w:line="480" w:lineRule="auto"/>
        <w:rPr>
          <w:rFonts w:ascii="Calibri" w:hAnsi="Calibri" w:cs="Calibri"/>
          <w:szCs w:val="24"/>
        </w:rPr>
      </w:pPr>
    </w:p>
    <w:p w14:paraId="17A84FF4" w14:textId="77777777" w:rsidR="001C07BC" w:rsidRDefault="001C07BC" w:rsidP="001C07BC">
      <w:pPr>
        <w:spacing w:line="480" w:lineRule="auto"/>
        <w:rPr>
          <w:rFonts w:ascii="Calibri" w:hAnsi="Calibri" w:cs="Calibri"/>
          <w:szCs w:val="24"/>
        </w:rPr>
      </w:pPr>
    </w:p>
    <w:p w14:paraId="129C2AAB" w14:textId="77777777" w:rsidR="001C07BC" w:rsidRDefault="001C07BC" w:rsidP="001C07BC">
      <w:pPr>
        <w:spacing w:line="480" w:lineRule="auto"/>
        <w:rPr>
          <w:rFonts w:ascii="Calibri" w:hAnsi="Calibri" w:cs="Calibri"/>
          <w:szCs w:val="24"/>
        </w:rPr>
      </w:pPr>
    </w:p>
    <w:p w14:paraId="675CB09A" w14:textId="77777777" w:rsidR="001C07BC" w:rsidRDefault="001C07BC" w:rsidP="001C07BC">
      <w:pPr>
        <w:spacing w:line="480" w:lineRule="auto"/>
        <w:rPr>
          <w:rFonts w:ascii="Calibri" w:hAnsi="Calibri" w:cs="Calibri"/>
          <w:szCs w:val="24"/>
        </w:rPr>
      </w:pPr>
    </w:p>
    <w:p w14:paraId="37CD9820" w14:textId="77777777" w:rsidR="001C07BC" w:rsidRDefault="001C07BC" w:rsidP="001C07BC">
      <w:pPr>
        <w:spacing w:line="480" w:lineRule="auto"/>
        <w:rPr>
          <w:rFonts w:ascii="Calibri" w:hAnsi="Calibri" w:cs="Calibri"/>
          <w:szCs w:val="24"/>
        </w:rPr>
      </w:pPr>
    </w:p>
    <w:p w14:paraId="0DEF6F55" w14:textId="77777777" w:rsidR="001C07BC" w:rsidRDefault="001C07BC" w:rsidP="001C07BC">
      <w:pPr>
        <w:spacing w:line="480" w:lineRule="auto"/>
        <w:rPr>
          <w:rFonts w:ascii="Calibri" w:hAnsi="Calibri" w:cs="Calibri"/>
          <w:szCs w:val="24"/>
        </w:rPr>
      </w:pPr>
    </w:p>
    <w:p w14:paraId="417065A7" w14:textId="77777777" w:rsidR="001C07BC" w:rsidRDefault="001C07BC" w:rsidP="001C07BC">
      <w:pPr>
        <w:spacing w:line="480" w:lineRule="auto"/>
        <w:rPr>
          <w:rFonts w:ascii="Calibri" w:hAnsi="Calibri" w:cs="Calibri"/>
          <w:szCs w:val="24"/>
        </w:rPr>
      </w:pPr>
    </w:p>
    <w:p w14:paraId="4D99DDE8" w14:textId="77777777" w:rsidR="001C07BC" w:rsidRDefault="001C07BC" w:rsidP="001C07BC">
      <w:pPr>
        <w:spacing w:line="480" w:lineRule="auto"/>
        <w:rPr>
          <w:rFonts w:ascii="Calibri" w:hAnsi="Calibri" w:cs="Calibri"/>
          <w:szCs w:val="24"/>
        </w:rPr>
      </w:pPr>
    </w:p>
    <w:p w14:paraId="779DECDA" w14:textId="77777777" w:rsidR="001C07BC" w:rsidRDefault="001C07BC" w:rsidP="001C07BC">
      <w:pPr>
        <w:spacing w:line="480" w:lineRule="auto"/>
        <w:rPr>
          <w:rFonts w:ascii="Calibri" w:hAnsi="Calibri" w:cs="Calibri"/>
          <w:szCs w:val="24"/>
        </w:rPr>
      </w:pPr>
    </w:p>
    <w:p w14:paraId="55500841" w14:textId="77777777" w:rsidR="001C07BC" w:rsidRPr="001C07BC" w:rsidRDefault="001C07BC" w:rsidP="001C07BC">
      <w:pPr>
        <w:spacing w:line="480" w:lineRule="auto"/>
        <w:rPr>
          <w:rFonts w:ascii="Calibri" w:hAnsi="Calibri" w:cs="Calibri"/>
          <w:szCs w:val="24"/>
        </w:rPr>
      </w:pPr>
    </w:p>
    <w:p w14:paraId="61B2E9D3"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lastRenderedPageBreak/>
        <w:t>Findings</w:t>
      </w:r>
    </w:p>
    <w:p w14:paraId="27C1262F"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The review of literature indicates that accounting has evolved greatly to accommodate the dynamics of the contemporary business world. Among the main conclusions is that the traditional accounting formula is still a basic concept, but its use has been modified to suit complex financial instruments and international transactions. Although the equation (Assets = Liabilities + Owner’s Equity) remains the foundation of financial reporting, it now must include fair value adjustments, contingent liabilities, and intangible assets, all of which reflect a wider and more dynamic view of financial position (</w:t>
      </w:r>
      <w:proofErr w:type="spellStart"/>
      <w:r w:rsidRPr="001C07BC">
        <w:rPr>
          <w:rFonts w:ascii="Calibri" w:hAnsi="Calibri" w:cs="Calibri"/>
          <w:szCs w:val="24"/>
        </w:rPr>
        <w:t>Kieso</w:t>
      </w:r>
      <w:proofErr w:type="spellEnd"/>
      <w:r w:rsidRPr="001C07BC">
        <w:rPr>
          <w:rFonts w:ascii="Calibri" w:hAnsi="Calibri" w:cs="Calibri"/>
          <w:szCs w:val="24"/>
        </w:rPr>
        <w:t xml:space="preserve"> et al., 2020).</w:t>
      </w:r>
    </w:p>
    <w:p w14:paraId="37E2AD72"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 xml:space="preserve">One of the most significant implications of this research is the increasing prevalence of International Financial Reporting Standards (IFRS) in contemporary accounting practices worldwide. The adoption of IFRS has enhanced comparability and transparency in the global markets where investors and stakeholders can find it easier to </w:t>
      </w:r>
      <w:proofErr w:type="spellStart"/>
      <w:r w:rsidRPr="001C07BC">
        <w:rPr>
          <w:rFonts w:ascii="Calibri" w:hAnsi="Calibri" w:cs="Calibri"/>
          <w:szCs w:val="24"/>
        </w:rPr>
        <w:t>analyze</w:t>
      </w:r>
      <w:proofErr w:type="spellEnd"/>
      <w:r w:rsidRPr="001C07BC">
        <w:rPr>
          <w:rFonts w:ascii="Calibri" w:hAnsi="Calibri" w:cs="Calibri"/>
          <w:szCs w:val="24"/>
        </w:rPr>
        <w:t xml:space="preserve"> financial statements in other jurisdictions. Empirical data indicate that companies implementing IFRS have increased accounting quality and less information asymmetry (Barth et al., 2012). Nonetheless, the results also point out that the principles-based framework of IFRS creates subjectivity that may result in differences in application and financial reporting discrepancies (Soderstrom and Sun, 2007). By contrast, the rules-based system of GAAP offers comprehensive guidance but minimizes flexibility in response to unique financial situations.</w:t>
      </w:r>
    </w:p>
    <w:p w14:paraId="0E24B620"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 xml:space="preserve">The analysis further establishes that corporate governance is pivotal in providing the reliability and integrity of accounting information. Good governance practices, including independent audit committees and proper internal controls, greatly lower the chances of financial </w:t>
      </w:r>
      <w:r w:rsidRPr="001C07BC">
        <w:rPr>
          <w:rFonts w:ascii="Calibri" w:hAnsi="Calibri" w:cs="Calibri"/>
          <w:szCs w:val="24"/>
        </w:rPr>
        <w:lastRenderedPageBreak/>
        <w:t>misreporting and fraud. Studies show that companies that have well-established governance systems tend to generate more transparent and quality financial reports (Bushman and Smith, 2001). Moreover, governance structures assist in harmonizing the interests of the management with the interests of the shareholders, consequently alleviating agency problem, and promoting accountability.</w:t>
      </w:r>
    </w:p>
    <w:p w14:paraId="316B9695"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 xml:space="preserve">The other significant insight is the interrelation of financial statements and their synergistic impact on determining financial health. The balance sheet, income statement, and cash flow statement are </w:t>
      </w:r>
      <w:proofErr w:type="gramStart"/>
      <w:r w:rsidRPr="001C07BC">
        <w:rPr>
          <w:rFonts w:ascii="Calibri" w:hAnsi="Calibri" w:cs="Calibri"/>
          <w:szCs w:val="24"/>
        </w:rPr>
        <w:t>interdependent</w:t>
      </w:r>
      <w:proofErr w:type="gramEnd"/>
      <w:r w:rsidRPr="001C07BC">
        <w:rPr>
          <w:rFonts w:ascii="Calibri" w:hAnsi="Calibri" w:cs="Calibri"/>
          <w:szCs w:val="24"/>
        </w:rPr>
        <w:t xml:space="preserve"> and their combination offers a complete overview of the performance of an organization. To illustrate, the net income on the income statement is directly related to retained earnings on the balance sheet and cash flow statements provide insights into the liquidity implications of operating, investing, and financing activities. This interrelationship allows stakeholders to make better decisions based on profitability and sustainability of cash flow (Penman, 2007).</w:t>
      </w:r>
    </w:p>
    <w:p w14:paraId="077CAB5F"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 xml:space="preserve">The research also indicates that the high-level accounting concepts, especially fair value accounting, have gained relevance in contemporary financial reporting. Fair value measurement makes financial information relevant in that it captures prevailing market conditions. This is particularly significant in the context of financial instruments, where historical cost might not necessarily reflect economic value. Nevertheless, evidence also suggests that fair value accounting may create volatility and subjectivity, especially in illiquid markets where market prices cannot be easily observed (Laux &amp; </w:t>
      </w:r>
      <w:proofErr w:type="spellStart"/>
      <w:r w:rsidRPr="001C07BC">
        <w:rPr>
          <w:rFonts w:ascii="Calibri" w:hAnsi="Calibri" w:cs="Calibri"/>
          <w:szCs w:val="24"/>
        </w:rPr>
        <w:t>Leuz</w:t>
      </w:r>
      <w:proofErr w:type="spellEnd"/>
      <w:r w:rsidRPr="001C07BC">
        <w:rPr>
          <w:rFonts w:ascii="Calibri" w:hAnsi="Calibri" w:cs="Calibri"/>
          <w:szCs w:val="24"/>
        </w:rPr>
        <w:t>, 2009). This poses difficulties to both the preparers and users of financial statements since estimates can differ based on assumptions and valuation methods.</w:t>
      </w:r>
    </w:p>
    <w:p w14:paraId="54C71BCD"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lastRenderedPageBreak/>
        <w:t>Another area where notable insights become evident is in asset impairment. Impairment accounting boosts accuracy and reliability of financial statements by ensuring that assets are reported at recoverable values. The results, however, indicate that impairment testing is frequently exposed to managerial judgment, which can be subject to pressure by incentives to manage earnings. Research confirms that managers can either postpone or hasten impairment recognition to attain preferred financial results, reflecting the value of regulatory control and auditing procedures (</w:t>
      </w:r>
      <w:proofErr w:type="spellStart"/>
      <w:r w:rsidRPr="001C07BC">
        <w:rPr>
          <w:rFonts w:ascii="Calibri" w:hAnsi="Calibri" w:cs="Calibri"/>
          <w:szCs w:val="24"/>
        </w:rPr>
        <w:t>Ramanna</w:t>
      </w:r>
      <w:proofErr w:type="spellEnd"/>
      <w:r w:rsidRPr="001C07BC">
        <w:rPr>
          <w:rFonts w:ascii="Calibri" w:hAnsi="Calibri" w:cs="Calibri"/>
          <w:szCs w:val="24"/>
        </w:rPr>
        <w:t xml:space="preserve"> and Watts, 2012).</w:t>
      </w:r>
    </w:p>
    <w:p w14:paraId="75825B77"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 xml:space="preserve">Off-balance-sheet financing is listed as a significant problem that influences financial transparency. The results suggest that off-balance-sheet arrangements have been utilized historically by companies to hide liabilities and enhance financial ratios, thus reflecting a more positive financial picture. A </w:t>
      </w:r>
      <w:proofErr w:type="spellStart"/>
      <w:proofErr w:type="gramStart"/>
      <w:r w:rsidRPr="001C07BC">
        <w:rPr>
          <w:rFonts w:ascii="Calibri" w:hAnsi="Calibri" w:cs="Calibri"/>
          <w:szCs w:val="24"/>
        </w:rPr>
        <w:t>well known</w:t>
      </w:r>
      <w:proofErr w:type="spellEnd"/>
      <w:proofErr w:type="gramEnd"/>
      <w:r w:rsidRPr="001C07BC">
        <w:rPr>
          <w:rFonts w:ascii="Calibri" w:hAnsi="Calibri" w:cs="Calibri"/>
          <w:szCs w:val="24"/>
        </w:rPr>
        <w:t xml:space="preserve"> example of how such practices can result in gross financial misrepresentation and loss of investor confidence is the Enron scandal (Healy &amp; Palepu, 2003). Regulatory authorities have responded by imposing more strict standards, including IFRS 16, which mandates more disclosure and recognition of liabilities concealed in the past. Such reforms have enhanced transparency, but there are still difficulties in the complete capture of complex financial arrangements.</w:t>
      </w:r>
    </w:p>
    <w:p w14:paraId="24FBD5D3"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 xml:space="preserve">Also, the results indicate that accounting practices have been greatly affected by globalization. The growing globalization of the markets has required alignment of accounting standards to support cross-border investment and economic integration. IFRS has been at the centre of this process, but variations in national standards remain. The convergence initiatives in IFRS and GAAP reveal continuous efforts in developing a single global accounting framework, however, </w:t>
      </w:r>
      <w:r w:rsidRPr="001C07BC">
        <w:rPr>
          <w:rFonts w:ascii="Calibri" w:hAnsi="Calibri" w:cs="Calibri"/>
          <w:szCs w:val="24"/>
        </w:rPr>
        <w:lastRenderedPageBreak/>
        <w:t>full standardization is not being achieved because of the varying regulatory, cultural, and economic contexts.</w:t>
      </w:r>
    </w:p>
    <w:p w14:paraId="6C46C136"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Overall, the results indicate that contemporary accounting practices are marked by a balance between relevance and reliability. Although new concepts like fair value accounting and global standards make financial information more useful, they also bring about complexity and need judgment. These practices rely heavily on effective corporate governance, enforcement of regulations, and ethics. These aspects all ensure that accounting remains in its core role of supplying accurate, transparent, and decision-useful information to stakeholders.</w:t>
      </w:r>
    </w:p>
    <w:p w14:paraId="716F3258"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Discussion</w:t>
      </w:r>
    </w:p>
    <w:p w14:paraId="51EB5261"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 xml:space="preserve">The results of this investigation emphasize the dynamism of accounting as it remains dynamic in reaction to globalization, financial innovation, and rising levels of stakeholder expectations. The way in which traditional accounting principles were altered to more sophisticated and adaptive systems indicates that the discipline can endure in difficult business conditions. This discussion critically </w:t>
      </w:r>
      <w:proofErr w:type="spellStart"/>
      <w:r w:rsidRPr="001C07BC">
        <w:rPr>
          <w:rFonts w:ascii="Calibri" w:hAnsi="Calibri" w:cs="Calibri"/>
          <w:szCs w:val="24"/>
        </w:rPr>
        <w:t>analyzes</w:t>
      </w:r>
      <w:proofErr w:type="spellEnd"/>
      <w:r w:rsidRPr="001C07BC">
        <w:rPr>
          <w:rFonts w:ascii="Calibri" w:hAnsi="Calibri" w:cs="Calibri"/>
          <w:szCs w:val="24"/>
        </w:rPr>
        <w:t xml:space="preserve"> these findings against existing literature and examines their broader implication on accounting theory and practice.</w:t>
      </w:r>
    </w:p>
    <w:p w14:paraId="4BC4292E"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 xml:space="preserve">Among the key themes </w:t>
      </w:r>
      <w:proofErr w:type="spellStart"/>
      <w:r w:rsidRPr="001C07BC">
        <w:rPr>
          <w:rFonts w:ascii="Calibri" w:hAnsi="Calibri" w:cs="Calibri"/>
          <w:szCs w:val="24"/>
        </w:rPr>
        <w:t>unraveling</w:t>
      </w:r>
      <w:proofErr w:type="spellEnd"/>
      <w:r w:rsidRPr="001C07BC">
        <w:rPr>
          <w:rFonts w:ascii="Calibri" w:hAnsi="Calibri" w:cs="Calibri"/>
          <w:szCs w:val="24"/>
        </w:rPr>
        <w:t xml:space="preserve"> in the findings is the persistence of the accounting equation as the basis of financial reporting. Although the equation is similar in the simple form, it has been used in a broader way to include modern financial aspects like intangible assets, derivatives, and contingent liabilities. This development is consistent with the claims of </w:t>
      </w:r>
      <w:proofErr w:type="spellStart"/>
      <w:r w:rsidRPr="001C07BC">
        <w:rPr>
          <w:rFonts w:ascii="Calibri" w:hAnsi="Calibri" w:cs="Calibri"/>
          <w:szCs w:val="24"/>
        </w:rPr>
        <w:t>Kieso</w:t>
      </w:r>
      <w:proofErr w:type="spellEnd"/>
      <w:r w:rsidRPr="001C07BC">
        <w:rPr>
          <w:rFonts w:ascii="Calibri" w:hAnsi="Calibri" w:cs="Calibri"/>
          <w:szCs w:val="24"/>
        </w:rPr>
        <w:t xml:space="preserve"> et al. (2020), who argue that accounting systems need to be updated to capture economic realities more realistically. Nevertheless, the rising complexity of such adjustments brings questions </w:t>
      </w:r>
      <w:r w:rsidRPr="001C07BC">
        <w:rPr>
          <w:rFonts w:ascii="Calibri" w:hAnsi="Calibri" w:cs="Calibri"/>
          <w:szCs w:val="24"/>
        </w:rPr>
        <w:lastRenderedPageBreak/>
        <w:t>about readability by the users of financial statements, especially non-</w:t>
      </w:r>
      <w:proofErr w:type="gramStart"/>
      <w:r w:rsidRPr="001C07BC">
        <w:rPr>
          <w:rFonts w:ascii="Calibri" w:hAnsi="Calibri" w:cs="Calibri"/>
          <w:szCs w:val="24"/>
        </w:rPr>
        <w:t>experts</w:t>
      </w:r>
      <w:proofErr w:type="gramEnd"/>
      <w:r w:rsidRPr="001C07BC">
        <w:rPr>
          <w:rFonts w:ascii="Calibri" w:hAnsi="Calibri" w:cs="Calibri"/>
          <w:szCs w:val="24"/>
        </w:rPr>
        <w:t xml:space="preserve"> stakeholders. This implies that there must be some </w:t>
      </w:r>
      <w:proofErr w:type="spellStart"/>
      <w:r w:rsidRPr="001C07BC">
        <w:rPr>
          <w:rFonts w:ascii="Calibri" w:hAnsi="Calibri" w:cs="Calibri"/>
          <w:szCs w:val="24"/>
        </w:rPr>
        <w:t>trade off</w:t>
      </w:r>
      <w:proofErr w:type="spellEnd"/>
      <w:r w:rsidRPr="001C07BC">
        <w:rPr>
          <w:rFonts w:ascii="Calibri" w:hAnsi="Calibri" w:cs="Calibri"/>
          <w:szCs w:val="24"/>
        </w:rPr>
        <w:t xml:space="preserve"> between technical accuracy and clarity in financial reporting.</w:t>
      </w:r>
    </w:p>
    <w:p w14:paraId="3F6CB0AA"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The comparison of IFRS and GAAP provides valuable insights into the current debate between principles-based and rules-based accounting systems. The results confirm earlier studies that IFRS improves comparability and transparency in global markets (Barth et al., 2012). This becomes especially relevant in a globalized economy where investors tend to compare firms operating in different jurisdictions. Nonetheless, the flexibility associated with IFRS also presents subjectivity, which can create inconsistency in its application. According to Soderstrom and Sun (2007), mechanisms of enforcement and institutional structures are critical to the effectiveness of IFRS. Conversely, the rules-based approach of GAAP offers greater detail, eliminating ambiguity, but can restrict the capacity to reflect the economic substance of transactions. This is why both systems are not necessarily better; it is the context of their application that makes them effective.</w:t>
      </w:r>
    </w:p>
    <w:p w14:paraId="47C23343"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 xml:space="preserve">Corporate governance becomes a key issue that affects the quality and reliability of accounting information. The results support the notion that effective governance frameworks make companies more transparent and less prone to financial misreporting. Bushman and Smith (2001) emphasize that financial accounting systems are instrumental in tracking managerial conduct and aligning it with shareholder interests. The discussion also indicates that the mechanisms of governance, including independent audits and regulatory supervision, are critical in reducing the risks of subjective accounting practices. Even well-formulated accounting </w:t>
      </w:r>
      <w:r w:rsidRPr="001C07BC">
        <w:rPr>
          <w:rFonts w:ascii="Calibri" w:hAnsi="Calibri" w:cs="Calibri"/>
          <w:szCs w:val="24"/>
        </w:rPr>
        <w:lastRenderedPageBreak/>
        <w:t xml:space="preserve">standards may not </w:t>
      </w:r>
      <w:proofErr w:type="spellStart"/>
      <w:r w:rsidRPr="001C07BC">
        <w:rPr>
          <w:rFonts w:ascii="Calibri" w:hAnsi="Calibri" w:cs="Calibri"/>
          <w:szCs w:val="24"/>
        </w:rPr>
        <w:t>fulfill</w:t>
      </w:r>
      <w:proofErr w:type="spellEnd"/>
      <w:r w:rsidRPr="001C07BC">
        <w:rPr>
          <w:rFonts w:ascii="Calibri" w:hAnsi="Calibri" w:cs="Calibri"/>
          <w:szCs w:val="24"/>
        </w:rPr>
        <w:t xml:space="preserve"> their purpose in the absence of effective governance. This highlights how accounting frameworks and governance structures depend on each other.</w:t>
      </w:r>
    </w:p>
    <w:p w14:paraId="00357273"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Another important area of emphasis on the findings is the interrelationship between financial statements. Fusion of the balance sheet, income statement, and cash flow statement presents a holistic view of the financial performance and position of an organization. Penman (2007) contends that the collective analysis of such statements helps in making more precise estimates of firm value and future performance. This interrelated approach is especially relevant in contemporary accounting, the discussion indicates, where complex transactions are frequently associated with numerous financial implications. But the growing complexity of financial statements can also be a challenge to users, and better disclosure practices and financial literacy is required.</w:t>
      </w:r>
    </w:p>
    <w:p w14:paraId="1D7468D7"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 xml:space="preserve">One of the most controversial issues in modern accounting literature is fair value accounting. The results suggest that fair value increases the relevance of financial information, as it captures the current market conditions. This reinforces the claim that decision-useful information must be timely and reflective of economic reality (Penman, 2007). Critics like Laux and </w:t>
      </w:r>
      <w:proofErr w:type="spellStart"/>
      <w:r w:rsidRPr="001C07BC">
        <w:rPr>
          <w:rFonts w:ascii="Calibri" w:hAnsi="Calibri" w:cs="Calibri"/>
          <w:szCs w:val="24"/>
        </w:rPr>
        <w:t>Leuz</w:t>
      </w:r>
      <w:proofErr w:type="spellEnd"/>
      <w:r w:rsidRPr="001C07BC">
        <w:rPr>
          <w:rFonts w:ascii="Calibri" w:hAnsi="Calibri" w:cs="Calibri"/>
          <w:szCs w:val="24"/>
        </w:rPr>
        <w:t xml:space="preserve"> (2009) however warn that fair value accounting may bring volatility and subjectivity especially in illiquid markets where market price reliability is not present. The discussion notes the trade-off between relevance and reliability, which has been a key issue in accounting. Although fair value is more information-relevant, its accuracy relies on the quality of valuation methods and assumptions. This highlights the significance of strong valuation standards and professional judgment.</w:t>
      </w:r>
    </w:p>
    <w:p w14:paraId="15E6C964"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lastRenderedPageBreak/>
        <w:t xml:space="preserve">The impairment of assets also exemplifies the difficulties of subjective accounting. The results indicate that impairment testing enhances the accuracy of asset valuation </w:t>
      </w:r>
      <w:proofErr w:type="gramStart"/>
      <w:r w:rsidRPr="001C07BC">
        <w:rPr>
          <w:rFonts w:ascii="Calibri" w:hAnsi="Calibri" w:cs="Calibri"/>
          <w:szCs w:val="24"/>
        </w:rPr>
        <w:t>and also</w:t>
      </w:r>
      <w:proofErr w:type="gramEnd"/>
      <w:r w:rsidRPr="001C07BC">
        <w:rPr>
          <w:rFonts w:ascii="Calibri" w:hAnsi="Calibri" w:cs="Calibri"/>
          <w:szCs w:val="24"/>
        </w:rPr>
        <w:t xml:space="preserve"> presents earnings management opportunities. According to </w:t>
      </w:r>
      <w:proofErr w:type="spellStart"/>
      <w:r w:rsidRPr="001C07BC">
        <w:rPr>
          <w:rFonts w:ascii="Calibri" w:hAnsi="Calibri" w:cs="Calibri"/>
          <w:szCs w:val="24"/>
        </w:rPr>
        <w:t>Ramanna</w:t>
      </w:r>
      <w:proofErr w:type="spellEnd"/>
      <w:r w:rsidRPr="001C07BC">
        <w:rPr>
          <w:rFonts w:ascii="Calibri" w:hAnsi="Calibri" w:cs="Calibri"/>
          <w:szCs w:val="24"/>
        </w:rPr>
        <w:t xml:space="preserve"> and Watts (2012), incentives can affect managerial discretion in impairment decisions, which may result in biased reporting. This brings significant ethical questions and emphasizes the necessity of strict auditing and regulatory systems. As indicated in the discussion, transparency in reporting impairment and steady application of standards are critical in ensuring stakeholder confidence.</w:t>
      </w:r>
    </w:p>
    <w:p w14:paraId="51C8B58D"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Another important subject in this study is off-balance-sheet financing. The results indicate that these practices may present a misleading financial status of an organization, thus compromising transparency. The Enron case involving a discussion by Healy and Palepu (2003) is a warning of the repercussions of poor disclosure and regulation. The implementation of standards like IFRS 16 is a major milestone in enhancing transparency by mandating that lease obligations be recognized on the balance sheet. Nevertheless, the discussion also indicates that businesses can continue to design transactions to deliver comparable results, which implies the need to monitor and adjust regulations continuously.</w:t>
      </w:r>
    </w:p>
    <w:p w14:paraId="1BE9D338"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Globalization has played a significant role in shaping and the implementation of accounting standards. The popularity of IFRS is due to the necessity of having a universal financial reporting language that supports international investment and economic integration. Nevertheless, discussion points out that full convergence between IFRS and GAAP is not easy based on legal systems, cultures, and economic conditions. This implies that although harmonization is preferable, some level of diversity in accounting practices might be unavoidable.</w:t>
      </w:r>
    </w:p>
    <w:p w14:paraId="7458BB85" w14:textId="77777777" w:rsidR="001C07BC" w:rsidRPr="001C07BC" w:rsidRDefault="001C07BC" w:rsidP="001C07BC">
      <w:pPr>
        <w:spacing w:line="480" w:lineRule="auto"/>
        <w:rPr>
          <w:rFonts w:ascii="Calibri" w:hAnsi="Calibri" w:cs="Calibri"/>
          <w:szCs w:val="24"/>
        </w:rPr>
      </w:pPr>
      <w:proofErr w:type="gramStart"/>
      <w:r w:rsidRPr="001C07BC">
        <w:rPr>
          <w:rFonts w:ascii="Calibri" w:hAnsi="Calibri" w:cs="Calibri"/>
          <w:szCs w:val="24"/>
        </w:rPr>
        <w:lastRenderedPageBreak/>
        <w:t>On the whole</w:t>
      </w:r>
      <w:proofErr w:type="gramEnd"/>
      <w:r w:rsidRPr="001C07BC">
        <w:rPr>
          <w:rFonts w:ascii="Calibri" w:hAnsi="Calibri" w:cs="Calibri"/>
          <w:szCs w:val="24"/>
        </w:rPr>
        <w:t>, the discussion highlights the complexity and dynamism of contemporary accounting. The adoption of more sophisticated ideas and international best practices has increased the usefulness and relevance of financial information, yet it has brought with it concerns about reliability, consistency, and ethical practices. These results imply that the success of accounting systems relies not only on the design of standards but also on the robustness of governance, regulatory implementation, and professional judgment. The future of accounting is most probably about enhancing transparency, comparability and dealing with the issues raised by technological changes and financial innovation.</w:t>
      </w:r>
    </w:p>
    <w:p w14:paraId="0B1ED5A8"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To sum up, the discussion shows that accounting is not a stagnant discipline but an ever-evolving field that adapts to emerging economic and social trends. Relevance and reliability are core issues, and to balance these issues, continuous coordination between standard-setters, regulators, and practitioners is essential. When these challenges are overcome, accounting can remain an important tool in assisting informed decision-making and enhancing confidence in the financial markets.</w:t>
      </w:r>
    </w:p>
    <w:p w14:paraId="38F736B8"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Conclusion</w:t>
      </w:r>
    </w:p>
    <w:p w14:paraId="7EFAFC85"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 xml:space="preserve">This report has critically </w:t>
      </w:r>
      <w:proofErr w:type="spellStart"/>
      <w:r w:rsidRPr="001C07BC">
        <w:rPr>
          <w:rFonts w:ascii="Calibri" w:hAnsi="Calibri" w:cs="Calibri"/>
          <w:szCs w:val="24"/>
        </w:rPr>
        <w:t>analyzed</w:t>
      </w:r>
      <w:proofErr w:type="spellEnd"/>
      <w:r w:rsidRPr="001C07BC">
        <w:rPr>
          <w:rFonts w:ascii="Calibri" w:hAnsi="Calibri" w:cs="Calibri"/>
          <w:szCs w:val="24"/>
        </w:rPr>
        <w:t xml:space="preserve"> advanced theoretical concepts of accounting and its application in contemporary business contexts. Analysis shows that although the basics of accounting, including the accounting equation, have not changed, the interpretation and use of such principles have changed a lot due to the growing financial complexity and globalization. Fair value measurement, asset impairment, and off-balance-sheet financing are new concepts in </w:t>
      </w:r>
      <w:r w:rsidRPr="001C07BC">
        <w:rPr>
          <w:rFonts w:ascii="Calibri" w:hAnsi="Calibri" w:cs="Calibri"/>
          <w:szCs w:val="24"/>
        </w:rPr>
        <w:lastRenderedPageBreak/>
        <w:t xml:space="preserve">modern accounting practices that make the financial information more </w:t>
      </w:r>
      <w:proofErr w:type="gramStart"/>
      <w:r w:rsidRPr="001C07BC">
        <w:rPr>
          <w:rFonts w:ascii="Calibri" w:hAnsi="Calibri" w:cs="Calibri"/>
          <w:szCs w:val="24"/>
        </w:rPr>
        <w:t>relevant, but</w:t>
      </w:r>
      <w:proofErr w:type="gramEnd"/>
      <w:r w:rsidRPr="001C07BC">
        <w:rPr>
          <w:rFonts w:ascii="Calibri" w:hAnsi="Calibri" w:cs="Calibri"/>
          <w:szCs w:val="24"/>
        </w:rPr>
        <w:t xml:space="preserve"> also present some challenges to reliability and subjectivity.</w:t>
      </w:r>
    </w:p>
    <w:p w14:paraId="7DB665AF"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The IFRS and GAAP comparison shows the continuous tension between the principles-based and the rules-based approaches. Although IFRS advocates flexibility and global comparability, it necessitates high professional judgment and well-developed enforcement mechanisms to establish consistency. In contrast, GAAP offers more precise and prescriptive guidance that minimizes flexibility at the expense of flexibility. The results indicate that no framework is intrinsically better; instead, both are subject to effectiveness based on governance structures, regulatory environments, and ethical practices.</w:t>
      </w:r>
    </w:p>
    <w:p w14:paraId="5967F604"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Corporate governance stands out as a critical aspect in promoting integrity and transparency of financial reporting. Effective governance systems such as independent audits and regulatory controls are crucial in reducing risks of managerial discretion and eventual misrepresentation of financial reports. Moreover, the interdependence of financial statements highlights the significance of holistic approach to financial analysis so that the stakeholders can make well-informed decisions based on the full range of financial information.</w:t>
      </w:r>
    </w:p>
    <w:p w14:paraId="0455D2A5"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t>Moreover, the paper emphasizes that globalization has had a profound impact on the progress and standardization of accounting standards. Although convergence efforts have enhanced comparability, full standardization is complex since economic and regulatory settings vary. This means that accounting is an evolving field that will keep changing with global and technological changes.</w:t>
      </w:r>
    </w:p>
    <w:p w14:paraId="6B7EB996" w14:textId="77777777" w:rsidR="001C07BC" w:rsidRPr="001C07BC" w:rsidRDefault="001C07BC" w:rsidP="001C07BC">
      <w:pPr>
        <w:spacing w:line="480" w:lineRule="auto"/>
        <w:rPr>
          <w:rFonts w:ascii="Calibri" w:hAnsi="Calibri" w:cs="Calibri"/>
          <w:szCs w:val="24"/>
        </w:rPr>
      </w:pPr>
      <w:r w:rsidRPr="001C07BC">
        <w:rPr>
          <w:rFonts w:ascii="Calibri" w:hAnsi="Calibri" w:cs="Calibri"/>
          <w:szCs w:val="24"/>
        </w:rPr>
        <w:lastRenderedPageBreak/>
        <w:t>Finally, modern accounting is a compromise between theory and practice. Its success depends on its transparency, ethical practices, and its ability to adapt to the evolving business conditions. Addressing such challenges, accounting can remain a source of informed decision-making and maintain trust in financial systems.</w:t>
      </w:r>
    </w:p>
    <w:p w14:paraId="77A2B1CA" w14:textId="77777777" w:rsidR="001C07BC" w:rsidRPr="001C07BC" w:rsidRDefault="001C07BC" w:rsidP="001C07BC">
      <w:pPr>
        <w:spacing w:line="480" w:lineRule="auto"/>
        <w:rPr>
          <w:rFonts w:ascii="Calibri" w:hAnsi="Calibri" w:cs="Calibri"/>
          <w:szCs w:val="24"/>
        </w:rPr>
      </w:pPr>
    </w:p>
    <w:p w14:paraId="378B8DCA" w14:textId="77777777" w:rsidR="001C07BC" w:rsidRPr="001C07BC" w:rsidRDefault="001C07BC" w:rsidP="001C07BC">
      <w:pPr>
        <w:spacing w:line="480" w:lineRule="auto"/>
        <w:rPr>
          <w:rFonts w:ascii="Calibri" w:hAnsi="Calibri" w:cs="Calibri"/>
          <w:szCs w:val="24"/>
        </w:rPr>
      </w:pPr>
    </w:p>
    <w:p w14:paraId="7FCB5E83" w14:textId="77777777" w:rsidR="001C07BC" w:rsidRPr="001C07BC" w:rsidRDefault="001C07BC" w:rsidP="001C07BC">
      <w:pPr>
        <w:spacing w:line="480" w:lineRule="auto"/>
        <w:rPr>
          <w:rFonts w:ascii="Calibri" w:hAnsi="Calibri" w:cs="Calibri"/>
          <w:szCs w:val="24"/>
        </w:rPr>
      </w:pPr>
    </w:p>
    <w:p w14:paraId="4856B664" w14:textId="77777777" w:rsidR="001C07BC" w:rsidRPr="001C07BC" w:rsidRDefault="001C07BC" w:rsidP="005832D5">
      <w:pPr>
        <w:spacing w:line="480" w:lineRule="auto"/>
        <w:rPr>
          <w:rFonts w:ascii="Calibri" w:hAnsi="Calibri" w:cs="Calibri"/>
          <w:szCs w:val="24"/>
        </w:rPr>
      </w:pPr>
    </w:p>
    <w:p w14:paraId="5F70774F" w14:textId="77777777" w:rsidR="005832D5" w:rsidRPr="001C07BC" w:rsidRDefault="005832D5" w:rsidP="005832D5">
      <w:pPr>
        <w:spacing w:line="480" w:lineRule="auto"/>
        <w:rPr>
          <w:rFonts w:ascii="Calibri" w:hAnsi="Calibri" w:cs="Calibri"/>
          <w:szCs w:val="24"/>
        </w:rPr>
      </w:pPr>
    </w:p>
    <w:p w14:paraId="789E004A" w14:textId="77777777" w:rsidR="005832D5" w:rsidRPr="001C07BC" w:rsidRDefault="005832D5" w:rsidP="005832D5">
      <w:pPr>
        <w:spacing w:line="480" w:lineRule="auto"/>
        <w:rPr>
          <w:rFonts w:ascii="Calibri" w:hAnsi="Calibri" w:cs="Calibri"/>
          <w:szCs w:val="24"/>
        </w:rPr>
      </w:pPr>
    </w:p>
    <w:p w14:paraId="607E1AFB" w14:textId="77777777" w:rsidR="005832D5" w:rsidRPr="001C07BC" w:rsidRDefault="005832D5" w:rsidP="005832D5">
      <w:pPr>
        <w:spacing w:line="480" w:lineRule="auto"/>
        <w:rPr>
          <w:rFonts w:ascii="Calibri" w:hAnsi="Calibri" w:cs="Calibri"/>
          <w:szCs w:val="24"/>
        </w:rPr>
      </w:pPr>
    </w:p>
    <w:p w14:paraId="60DDF203" w14:textId="77777777" w:rsidR="005832D5" w:rsidRPr="001C07BC" w:rsidRDefault="005832D5" w:rsidP="005832D5">
      <w:pPr>
        <w:spacing w:line="480" w:lineRule="auto"/>
        <w:rPr>
          <w:rFonts w:ascii="Calibri" w:hAnsi="Calibri" w:cs="Calibri"/>
          <w:szCs w:val="24"/>
        </w:rPr>
      </w:pPr>
    </w:p>
    <w:p w14:paraId="6B40A597" w14:textId="77777777" w:rsidR="001C07BC" w:rsidRPr="001C07BC" w:rsidRDefault="001C07BC" w:rsidP="005832D5">
      <w:pPr>
        <w:spacing w:line="480" w:lineRule="auto"/>
        <w:rPr>
          <w:rFonts w:ascii="Calibri" w:hAnsi="Calibri" w:cs="Calibri"/>
          <w:szCs w:val="24"/>
        </w:rPr>
      </w:pPr>
    </w:p>
    <w:p w14:paraId="7C47110C" w14:textId="77777777" w:rsidR="005832D5" w:rsidRPr="001C07BC" w:rsidRDefault="005832D5" w:rsidP="005832D5">
      <w:pPr>
        <w:pStyle w:val="Heading2"/>
        <w:rPr>
          <w:rFonts w:ascii="Calibri" w:hAnsi="Calibri" w:cs="Calibri"/>
          <w:sz w:val="24"/>
          <w:szCs w:val="24"/>
        </w:rPr>
      </w:pPr>
      <w:bookmarkStart w:id="1" w:name="_Toc224846307"/>
      <w:r w:rsidRPr="001C07BC">
        <w:rPr>
          <w:rFonts w:ascii="Calibri" w:hAnsi="Calibri" w:cs="Calibri"/>
          <w:sz w:val="24"/>
          <w:szCs w:val="24"/>
        </w:rPr>
        <w:t>References</w:t>
      </w:r>
      <w:bookmarkEnd w:id="1"/>
    </w:p>
    <w:p w14:paraId="4D65EAE0" w14:textId="77777777" w:rsidR="005832D5" w:rsidRPr="00C76C6F" w:rsidRDefault="005832D5" w:rsidP="005832D5">
      <w:pPr>
        <w:spacing w:line="480" w:lineRule="auto"/>
        <w:rPr>
          <w:rFonts w:ascii="Calibri" w:hAnsi="Calibri" w:cs="Calibri"/>
          <w:szCs w:val="24"/>
        </w:rPr>
      </w:pPr>
      <w:r w:rsidRPr="00C76C6F">
        <w:rPr>
          <w:rFonts w:ascii="Calibri" w:hAnsi="Calibri" w:cs="Calibri"/>
          <w:szCs w:val="24"/>
        </w:rPr>
        <w:t xml:space="preserve">Barth, M. E., Landsman, W. R., &amp; Lang, M. H. (2012). International accounting standards and accounting quality. </w:t>
      </w:r>
      <w:r w:rsidRPr="00C76C6F">
        <w:rPr>
          <w:rFonts w:ascii="Calibri" w:hAnsi="Calibri" w:cs="Calibri"/>
          <w:i/>
          <w:iCs/>
          <w:szCs w:val="24"/>
        </w:rPr>
        <w:t>Journal of Accounting Research</w:t>
      </w:r>
      <w:r w:rsidRPr="00C76C6F">
        <w:rPr>
          <w:rFonts w:ascii="Calibri" w:hAnsi="Calibri" w:cs="Calibri"/>
          <w:szCs w:val="24"/>
        </w:rPr>
        <w:t>, 46(3), 467–498. https://doi.org/10.1111/j.1475-679X.2008.00287.x</w:t>
      </w:r>
    </w:p>
    <w:p w14:paraId="59F07468" w14:textId="77777777" w:rsidR="005832D5" w:rsidRPr="00C76C6F" w:rsidRDefault="005832D5" w:rsidP="005832D5">
      <w:pPr>
        <w:spacing w:line="480" w:lineRule="auto"/>
        <w:rPr>
          <w:rFonts w:ascii="Calibri" w:hAnsi="Calibri" w:cs="Calibri"/>
          <w:szCs w:val="24"/>
        </w:rPr>
      </w:pPr>
      <w:r w:rsidRPr="00C76C6F">
        <w:rPr>
          <w:rFonts w:ascii="Calibri" w:hAnsi="Calibri" w:cs="Calibri"/>
          <w:szCs w:val="24"/>
        </w:rPr>
        <w:lastRenderedPageBreak/>
        <w:t xml:space="preserve">Bushman, R. M., &amp; Smith, A. J. (2001). Financial accounting information and corporate governance. </w:t>
      </w:r>
      <w:r w:rsidRPr="00C76C6F">
        <w:rPr>
          <w:rFonts w:ascii="Calibri" w:hAnsi="Calibri" w:cs="Calibri"/>
          <w:i/>
          <w:iCs/>
          <w:szCs w:val="24"/>
        </w:rPr>
        <w:t>Journal of Accounting and Economics</w:t>
      </w:r>
      <w:r w:rsidRPr="00C76C6F">
        <w:rPr>
          <w:rFonts w:ascii="Calibri" w:hAnsi="Calibri" w:cs="Calibri"/>
          <w:szCs w:val="24"/>
        </w:rPr>
        <w:t>, 32(1–3), 237–333. https://doi.org/10.1016/S0165-4101(01)00027-1</w:t>
      </w:r>
    </w:p>
    <w:p w14:paraId="78AE9C3C" w14:textId="77777777" w:rsidR="005832D5" w:rsidRPr="00C76C6F" w:rsidRDefault="005832D5" w:rsidP="005832D5">
      <w:pPr>
        <w:spacing w:line="480" w:lineRule="auto"/>
        <w:rPr>
          <w:rFonts w:ascii="Calibri" w:hAnsi="Calibri" w:cs="Calibri"/>
          <w:szCs w:val="24"/>
        </w:rPr>
      </w:pPr>
      <w:r w:rsidRPr="00C76C6F">
        <w:rPr>
          <w:rFonts w:ascii="Calibri" w:hAnsi="Calibri" w:cs="Calibri"/>
          <w:szCs w:val="24"/>
        </w:rPr>
        <w:t xml:space="preserve">Healy, P. M., &amp; Palepu, K. G. (2001). Information asymmetry, corporate disclosure, and the capital markets. </w:t>
      </w:r>
      <w:r w:rsidRPr="00C76C6F">
        <w:rPr>
          <w:rFonts w:ascii="Calibri" w:hAnsi="Calibri" w:cs="Calibri"/>
          <w:i/>
          <w:iCs/>
          <w:szCs w:val="24"/>
        </w:rPr>
        <w:t>Journal of Accounting and Economics</w:t>
      </w:r>
      <w:r w:rsidRPr="00C76C6F">
        <w:rPr>
          <w:rFonts w:ascii="Calibri" w:hAnsi="Calibri" w:cs="Calibri"/>
          <w:szCs w:val="24"/>
        </w:rPr>
        <w:t>, 31(1–3), 405–440. https://doi.org/10.1016/S0165-4101(01)00018-0</w:t>
      </w:r>
    </w:p>
    <w:p w14:paraId="5DAC9D8F" w14:textId="77777777" w:rsidR="005832D5" w:rsidRPr="00C76C6F" w:rsidRDefault="005832D5" w:rsidP="005832D5">
      <w:pPr>
        <w:spacing w:line="480" w:lineRule="auto"/>
        <w:rPr>
          <w:rFonts w:ascii="Calibri" w:hAnsi="Calibri" w:cs="Calibri"/>
          <w:szCs w:val="24"/>
        </w:rPr>
      </w:pPr>
      <w:r w:rsidRPr="00C76C6F">
        <w:rPr>
          <w:rFonts w:ascii="Calibri" w:hAnsi="Calibri" w:cs="Calibri"/>
          <w:szCs w:val="24"/>
        </w:rPr>
        <w:t xml:space="preserve">Healy, P. M., &amp; Palepu, K. G. (2003). The fall of Enron. </w:t>
      </w:r>
      <w:r w:rsidRPr="00C76C6F">
        <w:rPr>
          <w:rFonts w:ascii="Calibri" w:hAnsi="Calibri" w:cs="Calibri"/>
          <w:i/>
          <w:iCs/>
          <w:szCs w:val="24"/>
        </w:rPr>
        <w:t>Journal of Economic Perspectives</w:t>
      </w:r>
      <w:r w:rsidRPr="00C76C6F">
        <w:rPr>
          <w:rFonts w:ascii="Calibri" w:hAnsi="Calibri" w:cs="Calibri"/>
          <w:szCs w:val="24"/>
        </w:rPr>
        <w:t>, 17(2), 3–26. https://doi.org/10.1257/089533003765888403</w:t>
      </w:r>
    </w:p>
    <w:p w14:paraId="42256937" w14:textId="77777777" w:rsidR="005832D5" w:rsidRPr="00C76C6F" w:rsidRDefault="005832D5" w:rsidP="005832D5">
      <w:pPr>
        <w:spacing w:line="480" w:lineRule="auto"/>
        <w:rPr>
          <w:rFonts w:ascii="Calibri" w:hAnsi="Calibri" w:cs="Calibri"/>
          <w:szCs w:val="24"/>
        </w:rPr>
      </w:pPr>
      <w:proofErr w:type="spellStart"/>
      <w:r w:rsidRPr="00C76C6F">
        <w:rPr>
          <w:rFonts w:ascii="Calibri" w:hAnsi="Calibri" w:cs="Calibri"/>
          <w:szCs w:val="24"/>
        </w:rPr>
        <w:t>Kieso</w:t>
      </w:r>
      <w:proofErr w:type="spellEnd"/>
      <w:r w:rsidRPr="00C76C6F">
        <w:rPr>
          <w:rFonts w:ascii="Calibri" w:hAnsi="Calibri" w:cs="Calibri"/>
          <w:szCs w:val="24"/>
        </w:rPr>
        <w:t xml:space="preserve">, D. E., Weygandt, J. J., &amp; Warfield, T. D. (2020). </w:t>
      </w:r>
      <w:r w:rsidRPr="00C76C6F">
        <w:rPr>
          <w:rFonts w:ascii="Calibri" w:hAnsi="Calibri" w:cs="Calibri"/>
          <w:i/>
          <w:iCs/>
          <w:szCs w:val="24"/>
        </w:rPr>
        <w:t>Intermediate accounting</w:t>
      </w:r>
      <w:r w:rsidRPr="00C76C6F">
        <w:rPr>
          <w:rFonts w:ascii="Calibri" w:hAnsi="Calibri" w:cs="Calibri"/>
          <w:szCs w:val="24"/>
        </w:rPr>
        <w:t xml:space="preserve"> (17th ed.). Wiley.</w:t>
      </w:r>
    </w:p>
    <w:p w14:paraId="30423CE5" w14:textId="77777777" w:rsidR="005832D5" w:rsidRPr="00C76C6F" w:rsidRDefault="005832D5" w:rsidP="005832D5">
      <w:pPr>
        <w:spacing w:line="480" w:lineRule="auto"/>
        <w:rPr>
          <w:rFonts w:ascii="Calibri" w:hAnsi="Calibri" w:cs="Calibri"/>
          <w:szCs w:val="24"/>
        </w:rPr>
      </w:pPr>
      <w:r w:rsidRPr="00C76C6F">
        <w:rPr>
          <w:rFonts w:ascii="Calibri" w:hAnsi="Calibri" w:cs="Calibri"/>
          <w:szCs w:val="24"/>
        </w:rPr>
        <w:t xml:space="preserve">Laux, C., &amp; </w:t>
      </w:r>
      <w:proofErr w:type="spellStart"/>
      <w:r w:rsidRPr="00C76C6F">
        <w:rPr>
          <w:rFonts w:ascii="Calibri" w:hAnsi="Calibri" w:cs="Calibri"/>
          <w:szCs w:val="24"/>
        </w:rPr>
        <w:t>Leuz</w:t>
      </w:r>
      <w:proofErr w:type="spellEnd"/>
      <w:r w:rsidRPr="00C76C6F">
        <w:rPr>
          <w:rFonts w:ascii="Calibri" w:hAnsi="Calibri" w:cs="Calibri"/>
          <w:szCs w:val="24"/>
        </w:rPr>
        <w:t xml:space="preserve">, C. (2009). The crisis of fair-value accounting. </w:t>
      </w:r>
      <w:r w:rsidRPr="00C76C6F">
        <w:rPr>
          <w:rFonts w:ascii="Calibri" w:hAnsi="Calibri" w:cs="Calibri"/>
          <w:i/>
          <w:iCs/>
          <w:szCs w:val="24"/>
        </w:rPr>
        <w:t>Accounting, Organizations and Society</w:t>
      </w:r>
      <w:r w:rsidRPr="00C76C6F">
        <w:rPr>
          <w:rFonts w:ascii="Calibri" w:hAnsi="Calibri" w:cs="Calibri"/>
          <w:szCs w:val="24"/>
        </w:rPr>
        <w:t>, 34(6–7), 826–834. https://doi.org/10.1016/j.aos.2009.04.004</w:t>
      </w:r>
    </w:p>
    <w:p w14:paraId="7826F5D4" w14:textId="77777777" w:rsidR="005832D5" w:rsidRPr="00C76C6F" w:rsidRDefault="005832D5" w:rsidP="005832D5">
      <w:pPr>
        <w:spacing w:line="480" w:lineRule="auto"/>
        <w:rPr>
          <w:rFonts w:ascii="Calibri" w:hAnsi="Calibri" w:cs="Calibri"/>
          <w:szCs w:val="24"/>
        </w:rPr>
      </w:pPr>
      <w:r w:rsidRPr="00C76C6F">
        <w:rPr>
          <w:rFonts w:ascii="Calibri" w:hAnsi="Calibri" w:cs="Calibri"/>
          <w:szCs w:val="24"/>
        </w:rPr>
        <w:t xml:space="preserve">Penman, S. H. (2007). Financial reporting quality: Is fair value a plus or a minus? </w:t>
      </w:r>
      <w:r w:rsidRPr="00C76C6F">
        <w:rPr>
          <w:rFonts w:ascii="Calibri" w:hAnsi="Calibri" w:cs="Calibri"/>
          <w:i/>
          <w:iCs/>
          <w:szCs w:val="24"/>
        </w:rPr>
        <w:t>Accounting and Business Research</w:t>
      </w:r>
      <w:r w:rsidRPr="00C76C6F">
        <w:rPr>
          <w:rFonts w:ascii="Calibri" w:hAnsi="Calibri" w:cs="Calibri"/>
          <w:szCs w:val="24"/>
        </w:rPr>
        <w:t>, 37(sup1), 33–44. https://doi.org/10.1080/00014788.2007.9730083</w:t>
      </w:r>
    </w:p>
    <w:p w14:paraId="09B1C1A7" w14:textId="77777777" w:rsidR="005832D5" w:rsidRPr="00C76C6F" w:rsidRDefault="005832D5" w:rsidP="005832D5">
      <w:pPr>
        <w:spacing w:line="480" w:lineRule="auto"/>
        <w:rPr>
          <w:rFonts w:ascii="Calibri" w:hAnsi="Calibri" w:cs="Calibri"/>
          <w:szCs w:val="24"/>
        </w:rPr>
      </w:pPr>
      <w:r w:rsidRPr="00C76C6F">
        <w:rPr>
          <w:rFonts w:ascii="Calibri" w:hAnsi="Calibri" w:cs="Calibri"/>
          <w:szCs w:val="24"/>
        </w:rPr>
        <w:t xml:space="preserve">Ramanna, K., &amp; Watts, R. L. (2012). Evidence on the use of unverifiable estimates in required goodwill impairment. </w:t>
      </w:r>
      <w:r w:rsidRPr="00C76C6F">
        <w:rPr>
          <w:rFonts w:ascii="Calibri" w:hAnsi="Calibri" w:cs="Calibri"/>
          <w:i/>
          <w:iCs/>
          <w:szCs w:val="24"/>
        </w:rPr>
        <w:t>Review of Accounting Studies</w:t>
      </w:r>
      <w:r w:rsidRPr="00C76C6F">
        <w:rPr>
          <w:rFonts w:ascii="Calibri" w:hAnsi="Calibri" w:cs="Calibri"/>
          <w:szCs w:val="24"/>
        </w:rPr>
        <w:t xml:space="preserve">, 17(4), 749–780. </w:t>
      </w:r>
      <w:hyperlink r:id="rId5" w:tgtFrame="_new" w:history="1">
        <w:r w:rsidRPr="00C76C6F">
          <w:rPr>
            <w:rStyle w:val="Hyperlink"/>
            <w:rFonts w:ascii="Calibri" w:hAnsi="Calibri" w:cs="Calibri"/>
            <w:szCs w:val="24"/>
          </w:rPr>
          <w:t>https://doi.org/10.1007/s11142-012-9188-5</w:t>
        </w:r>
      </w:hyperlink>
    </w:p>
    <w:p w14:paraId="035ECC0F" w14:textId="77777777" w:rsidR="005832D5" w:rsidRPr="00C76C6F" w:rsidRDefault="005832D5" w:rsidP="005832D5">
      <w:pPr>
        <w:spacing w:line="480" w:lineRule="auto"/>
        <w:rPr>
          <w:rFonts w:ascii="Calibri" w:hAnsi="Calibri" w:cs="Calibri"/>
          <w:szCs w:val="24"/>
        </w:rPr>
      </w:pPr>
      <w:r w:rsidRPr="00C76C6F">
        <w:rPr>
          <w:rFonts w:ascii="Calibri" w:hAnsi="Calibri" w:cs="Calibri"/>
          <w:szCs w:val="24"/>
        </w:rPr>
        <w:t xml:space="preserve">Soderstrom, N. S., &amp; Sun, K. J. (2007). IFRS adoption and accounting quality: A review. </w:t>
      </w:r>
      <w:r w:rsidRPr="00C76C6F">
        <w:rPr>
          <w:rFonts w:ascii="Calibri" w:hAnsi="Calibri" w:cs="Calibri"/>
          <w:i/>
          <w:iCs/>
          <w:szCs w:val="24"/>
        </w:rPr>
        <w:t>European Accounting Review</w:t>
      </w:r>
      <w:r w:rsidRPr="00C76C6F">
        <w:rPr>
          <w:rFonts w:ascii="Calibri" w:hAnsi="Calibri" w:cs="Calibri"/>
          <w:szCs w:val="24"/>
        </w:rPr>
        <w:t xml:space="preserve">, 16(4), 675–702. </w:t>
      </w:r>
      <w:hyperlink r:id="rId6" w:tgtFrame="_new" w:history="1">
        <w:r w:rsidRPr="00C76C6F">
          <w:rPr>
            <w:rStyle w:val="Hyperlink"/>
            <w:rFonts w:ascii="Calibri" w:hAnsi="Calibri" w:cs="Calibri"/>
            <w:szCs w:val="24"/>
          </w:rPr>
          <w:t>https://doi.org/10.1080/09638180701706732</w:t>
        </w:r>
      </w:hyperlink>
    </w:p>
    <w:p w14:paraId="66C70B40" w14:textId="77777777" w:rsidR="005832D5" w:rsidRPr="00C76C6F" w:rsidRDefault="005832D5" w:rsidP="005832D5">
      <w:pPr>
        <w:spacing w:line="480" w:lineRule="auto"/>
        <w:rPr>
          <w:rFonts w:ascii="Calibri" w:hAnsi="Calibri" w:cs="Calibri"/>
          <w:szCs w:val="24"/>
        </w:rPr>
      </w:pPr>
      <w:r w:rsidRPr="00C76C6F">
        <w:rPr>
          <w:rFonts w:ascii="Calibri" w:hAnsi="Calibri" w:cs="Calibri"/>
          <w:szCs w:val="24"/>
        </w:rPr>
        <w:lastRenderedPageBreak/>
        <w:t xml:space="preserve">Ball, R. (2006). International financial reporting standards (IFRS): Pros and cons for investors. </w:t>
      </w:r>
      <w:r w:rsidRPr="00C76C6F">
        <w:rPr>
          <w:rFonts w:ascii="Calibri" w:hAnsi="Calibri" w:cs="Calibri"/>
          <w:i/>
          <w:iCs/>
          <w:szCs w:val="24"/>
        </w:rPr>
        <w:t>Accounting and Business Research</w:t>
      </w:r>
      <w:r w:rsidRPr="00C76C6F">
        <w:rPr>
          <w:rFonts w:ascii="Calibri" w:hAnsi="Calibri" w:cs="Calibri"/>
          <w:szCs w:val="24"/>
        </w:rPr>
        <w:t xml:space="preserve">, 36(sup1), 5–27. </w:t>
      </w:r>
      <w:hyperlink r:id="rId7" w:tgtFrame="_new" w:history="1">
        <w:r w:rsidRPr="00C76C6F">
          <w:rPr>
            <w:rStyle w:val="Hyperlink"/>
            <w:rFonts w:ascii="Calibri" w:hAnsi="Calibri" w:cs="Calibri"/>
            <w:szCs w:val="24"/>
          </w:rPr>
          <w:t>https://doi.org/10.1080/00014788.2006.9730040</w:t>
        </w:r>
      </w:hyperlink>
    </w:p>
    <w:p w14:paraId="7D07921A" w14:textId="77777777" w:rsidR="005832D5" w:rsidRPr="00C76C6F" w:rsidRDefault="005832D5" w:rsidP="005832D5">
      <w:pPr>
        <w:spacing w:line="480" w:lineRule="auto"/>
        <w:rPr>
          <w:rFonts w:ascii="Calibri" w:hAnsi="Calibri" w:cs="Calibri"/>
          <w:szCs w:val="24"/>
        </w:rPr>
      </w:pPr>
      <w:r w:rsidRPr="00C76C6F">
        <w:rPr>
          <w:rFonts w:ascii="Calibri" w:hAnsi="Calibri" w:cs="Calibri"/>
          <w:szCs w:val="24"/>
        </w:rPr>
        <w:t xml:space="preserve">Dechow, P. M., &amp; Schrand, C. M. (2004). Earnings quality. </w:t>
      </w:r>
      <w:r w:rsidRPr="00C76C6F">
        <w:rPr>
          <w:rFonts w:ascii="Calibri" w:hAnsi="Calibri" w:cs="Calibri"/>
          <w:i/>
          <w:iCs/>
          <w:szCs w:val="24"/>
        </w:rPr>
        <w:t>Research Foundation of CFA Institute</w:t>
      </w:r>
      <w:r w:rsidRPr="00C76C6F">
        <w:rPr>
          <w:rFonts w:ascii="Calibri" w:hAnsi="Calibri" w:cs="Calibri"/>
          <w:szCs w:val="24"/>
        </w:rPr>
        <w:t>. https://doi.org/10.2469/rrf.v2004.n3.389</w:t>
      </w:r>
    </w:p>
    <w:p w14:paraId="267CF951" w14:textId="77777777" w:rsidR="005832D5" w:rsidRPr="00C76C6F" w:rsidRDefault="005832D5" w:rsidP="005832D5">
      <w:pPr>
        <w:spacing w:line="480" w:lineRule="auto"/>
        <w:rPr>
          <w:rFonts w:ascii="Calibri" w:hAnsi="Calibri" w:cs="Calibri"/>
          <w:szCs w:val="24"/>
        </w:rPr>
      </w:pPr>
      <w:r w:rsidRPr="00C76C6F">
        <w:rPr>
          <w:rFonts w:ascii="Calibri" w:hAnsi="Calibri" w:cs="Calibri"/>
          <w:szCs w:val="24"/>
        </w:rPr>
        <w:t xml:space="preserve">Scott, W. R. (2015). </w:t>
      </w:r>
      <w:r w:rsidRPr="00C76C6F">
        <w:rPr>
          <w:rFonts w:ascii="Calibri" w:hAnsi="Calibri" w:cs="Calibri"/>
          <w:i/>
          <w:iCs/>
          <w:szCs w:val="24"/>
        </w:rPr>
        <w:t>Financial accounting theory</w:t>
      </w:r>
      <w:r w:rsidRPr="00C76C6F">
        <w:rPr>
          <w:rFonts w:ascii="Calibri" w:hAnsi="Calibri" w:cs="Calibri"/>
          <w:szCs w:val="24"/>
        </w:rPr>
        <w:t xml:space="preserve"> (7th ed.). Pearson.</w:t>
      </w:r>
    </w:p>
    <w:p w14:paraId="2375544C" w14:textId="77777777" w:rsidR="005832D5" w:rsidRPr="00C76C6F" w:rsidRDefault="005832D5" w:rsidP="005832D5">
      <w:pPr>
        <w:spacing w:line="480" w:lineRule="auto"/>
        <w:rPr>
          <w:rFonts w:ascii="Calibri" w:hAnsi="Calibri" w:cs="Calibri"/>
          <w:szCs w:val="24"/>
        </w:rPr>
      </w:pPr>
      <w:r w:rsidRPr="00C76C6F">
        <w:rPr>
          <w:rFonts w:ascii="Calibri" w:hAnsi="Calibri" w:cs="Calibri"/>
          <w:szCs w:val="24"/>
        </w:rPr>
        <w:t xml:space="preserve">Godfrey, J., Hodgson, A., Tarca, A., Hamilton, J., &amp; Holmes, S. (2010). </w:t>
      </w:r>
      <w:r w:rsidRPr="00C76C6F">
        <w:rPr>
          <w:rFonts w:ascii="Calibri" w:hAnsi="Calibri" w:cs="Calibri"/>
          <w:i/>
          <w:iCs/>
          <w:szCs w:val="24"/>
        </w:rPr>
        <w:t>Accounting theory</w:t>
      </w:r>
      <w:r w:rsidRPr="00C76C6F">
        <w:rPr>
          <w:rFonts w:ascii="Calibri" w:hAnsi="Calibri" w:cs="Calibri"/>
          <w:szCs w:val="24"/>
        </w:rPr>
        <w:t xml:space="preserve"> (7th ed.). Wiley.</w:t>
      </w:r>
    </w:p>
    <w:p w14:paraId="672FA01A" w14:textId="77777777" w:rsidR="005832D5" w:rsidRPr="00C76C6F" w:rsidRDefault="005832D5" w:rsidP="005832D5">
      <w:pPr>
        <w:spacing w:line="480" w:lineRule="auto"/>
        <w:rPr>
          <w:rFonts w:ascii="Calibri" w:hAnsi="Calibri" w:cs="Calibri"/>
          <w:szCs w:val="24"/>
        </w:rPr>
      </w:pPr>
      <w:r w:rsidRPr="00C76C6F">
        <w:rPr>
          <w:rFonts w:ascii="Calibri" w:hAnsi="Calibri" w:cs="Calibri"/>
          <w:szCs w:val="24"/>
        </w:rPr>
        <w:t xml:space="preserve">Watts, R. L., &amp; Zimmerman, J. L. (1986). </w:t>
      </w:r>
      <w:r w:rsidRPr="00C76C6F">
        <w:rPr>
          <w:rFonts w:ascii="Calibri" w:hAnsi="Calibri" w:cs="Calibri"/>
          <w:i/>
          <w:iCs/>
          <w:szCs w:val="24"/>
        </w:rPr>
        <w:t>Positive accounting theory</w:t>
      </w:r>
      <w:r w:rsidRPr="00C76C6F">
        <w:rPr>
          <w:rFonts w:ascii="Calibri" w:hAnsi="Calibri" w:cs="Calibri"/>
          <w:szCs w:val="24"/>
        </w:rPr>
        <w:t>. Prentice Hall.</w:t>
      </w:r>
    </w:p>
    <w:p w14:paraId="291E0400" w14:textId="77777777" w:rsidR="005832D5" w:rsidRPr="00C76C6F" w:rsidRDefault="005832D5" w:rsidP="005832D5">
      <w:pPr>
        <w:spacing w:line="480" w:lineRule="auto"/>
        <w:rPr>
          <w:rFonts w:ascii="Calibri" w:hAnsi="Calibri" w:cs="Calibri"/>
          <w:szCs w:val="24"/>
        </w:rPr>
      </w:pPr>
      <w:proofErr w:type="spellStart"/>
      <w:r w:rsidRPr="00C76C6F">
        <w:rPr>
          <w:rFonts w:ascii="Calibri" w:hAnsi="Calibri" w:cs="Calibri"/>
          <w:szCs w:val="24"/>
        </w:rPr>
        <w:t>Leuz</w:t>
      </w:r>
      <w:proofErr w:type="spellEnd"/>
      <w:r w:rsidRPr="00C76C6F">
        <w:rPr>
          <w:rFonts w:ascii="Calibri" w:hAnsi="Calibri" w:cs="Calibri"/>
          <w:szCs w:val="24"/>
        </w:rPr>
        <w:t xml:space="preserve">, C., Nanda, D., &amp; Wysocki, P. D. (2003). Earnings management and investor protection. </w:t>
      </w:r>
      <w:r w:rsidRPr="00C76C6F">
        <w:rPr>
          <w:rFonts w:ascii="Calibri" w:hAnsi="Calibri" w:cs="Calibri"/>
          <w:i/>
          <w:iCs/>
          <w:szCs w:val="24"/>
        </w:rPr>
        <w:t>Journal of Financial Economics</w:t>
      </w:r>
      <w:r w:rsidRPr="00C76C6F">
        <w:rPr>
          <w:rFonts w:ascii="Calibri" w:hAnsi="Calibri" w:cs="Calibri"/>
          <w:szCs w:val="24"/>
        </w:rPr>
        <w:t>, 69(3), 505–527. https://doi.org/10.1016/S0304-405X(03)00121-1</w:t>
      </w:r>
    </w:p>
    <w:p w14:paraId="7F8C45D1" w14:textId="77777777" w:rsidR="005832D5" w:rsidRPr="00C76C6F" w:rsidRDefault="005832D5" w:rsidP="005832D5">
      <w:pPr>
        <w:spacing w:line="480" w:lineRule="auto"/>
        <w:rPr>
          <w:rFonts w:ascii="Calibri" w:hAnsi="Calibri" w:cs="Calibri"/>
          <w:szCs w:val="24"/>
        </w:rPr>
      </w:pPr>
      <w:r w:rsidRPr="00C76C6F">
        <w:rPr>
          <w:rFonts w:ascii="Calibri" w:hAnsi="Calibri" w:cs="Calibri"/>
          <w:szCs w:val="24"/>
        </w:rPr>
        <w:t xml:space="preserve">Jensen, M. C., &amp; Meckling, W. H. (1976). Theory of the firm: Managerial </w:t>
      </w:r>
      <w:proofErr w:type="spellStart"/>
      <w:r w:rsidRPr="00C76C6F">
        <w:rPr>
          <w:rFonts w:ascii="Calibri" w:hAnsi="Calibri" w:cs="Calibri"/>
          <w:szCs w:val="24"/>
        </w:rPr>
        <w:t>behavior</w:t>
      </w:r>
      <w:proofErr w:type="spellEnd"/>
      <w:r w:rsidRPr="00C76C6F">
        <w:rPr>
          <w:rFonts w:ascii="Calibri" w:hAnsi="Calibri" w:cs="Calibri"/>
          <w:szCs w:val="24"/>
        </w:rPr>
        <w:t xml:space="preserve">, agency costs and ownership structure. </w:t>
      </w:r>
      <w:r w:rsidRPr="00C76C6F">
        <w:rPr>
          <w:rFonts w:ascii="Calibri" w:hAnsi="Calibri" w:cs="Calibri"/>
          <w:i/>
          <w:iCs/>
          <w:szCs w:val="24"/>
        </w:rPr>
        <w:t>Journal of Financial Economics</w:t>
      </w:r>
      <w:r w:rsidRPr="00C76C6F">
        <w:rPr>
          <w:rFonts w:ascii="Calibri" w:hAnsi="Calibri" w:cs="Calibri"/>
          <w:szCs w:val="24"/>
        </w:rPr>
        <w:t>, 3(4), 305–360. https://doi.org/10.1016/0304-405X(76)90026-X</w:t>
      </w:r>
    </w:p>
    <w:p w14:paraId="435F709E" w14:textId="77777777" w:rsidR="005832D5" w:rsidRPr="00C76C6F" w:rsidRDefault="005832D5" w:rsidP="005832D5">
      <w:pPr>
        <w:spacing w:line="480" w:lineRule="auto"/>
        <w:rPr>
          <w:rFonts w:ascii="Calibri" w:hAnsi="Calibri" w:cs="Calibri"/>
          <w:szCs w:val="24"/>
        </w:rPr>
      </w:pPr>
      <w:r w:rsidRPr="00C76C6F">
        <w:rPr>
          <w:rFonts w:ascii="Calibri" w:hAnsi="Calibri" w:cs="Calibri"/>
          <w:szCs w:val="24"/>
        </w:rPr>
        <w:t xml:space="preserve">IASB. (2018). </w:t>
      </w:r>
      <w:r w:rsidRPr="00C76C6F">
        <w:rPr>
          <w:rFonts w:ascii="Calibri" w:hAnsi="Calibri" w:cs="Calibri"/>
          <w:i/>
          <w:iCs/>
          <w:szCs w:val="24"/>
        </w:rPr>
        <w:t>Conceptual framework for financial reporting</w:t>
      </w:r>
      <w:r w:rsidRPr="00C76C6F">
        <w:rPr>
          <w:rFonts w:ascii="Calibri" w:hAnsi="Calibri" w:cs="Calibri"/>
          <w:szCs w:val="24"/>
        </w:rPr>
        <w:t>. IFRS Foundation.</w:t>
      </w:r>
    </w:p>
    <w:p w14:paraId="3F702375" w14:textId="77777777" w:rsidR="005832D5" w:rsidRPr="00C76C6F" w:rsidRDefault="005832D5" w:rsidP="005832D5">
      <w:pPr>
        <w:spacing w:line="480" w:lineRule="auto"/>
        <w:rPr>
          <w:rFonts w:ascii="Calibri" w:hAnsi="Calibri" w:cs="Calibri"/>
          <w:szCs w:val="24"/>
        </w:rPr>
      </w:pPr>
      <w:r w:rsidRPr="00C76C6F">
        <w:rPr>
          <w:rFonts w:ascii="Calibri" w:hAnsi="Calibri" w:cs="Calibri"/>
          <w:szCs w:val="24"/>
        </w:rPr>
        <w:t xml:space="preserve">FASB. (2010). </w:t>
      </w:r>
      <w:r w:rsidRPr="00C76C6F">
        <w:rPr>
          <w:rFonts w:ascii="Calibri" w:hAnsi="Calibri" w:cs="Calibri"/>
          <w:i/>
          <w:iCs/>
          <w:szCs w:val="24"/>
        </w:rPr>
        <w:t>Conceptual framework for financial reporting</w:t>
      </w:r>
      <w:r w:rsidRPr="00C76C6F">
        <w:rPr>
          <w:rFonts w:ascii="Calibri" w:hAnsi="Calibri" w:cs="Calibri"/>
          <w:szCs w:val="24"/>
        </w:rPr>
        <w:t>. Financial Accounting Standards Board.</w:t>
      </w:r>
    </w:p>
    <w:p w14:paraId="2C9DC1A3" w14:textId="77777777" w:rsidR="005832D5" w:rsidRPr="001C07BC" w:rsidRDefault="005832D5">
      <w:pPr>
        <w:rPr>
          <w:rFonts w:ascii="Calibri" w:hAnsi="Calibri" w:cs="Calibri"/>
          <w:szCs w:val="24"/>
        </w:rPr>
      </w:pPr>
    </w:p>
    <w:sectPr w:rsidR="005832D5" w:rsidRPr="001C07B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2D5"/>
    <w:rsid w:val="001C07BC"/>
    <w:rsid w:val="005832D5"/>
    <w:rsid w:val="00B8158C"/>
    <w:rsid w:val="00D573DE"/>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64723"/>
  <w15:chartTrackingRefBased/>
  <w15:docId w15:val="{4F05D1C3-4DBC-4A57-ABB5-CD44D84DD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2D5"/>
  </w:style>
  <w:style w:type="paragraph" w:styleId="Heading1">
    <w:name w:val="heading 1"/>
    <w:basedOn w:val="Normal"/>
    <w:next w:val="Normal"/>
    <w:link w:val="Heading1Char"/>
    <w:uiPriority w:val="9"/>
    <w:qFormat/>
    <w:rsid w:val="005832D5"/>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5832D5"/>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5832D5"/>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5832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32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32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32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32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32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2D5"/>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5832D5"/>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5832D5"/>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5832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32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32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32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32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32D5"/>
    <w:rPr>
      <w:rFonts w:eastAsiaTheme="majorEastAsia" w:cstheme="majorBidi"/>
      <w:color w:val="272727" w:themeColor="text1" w:themeTint="D8"/>
    </w:rPr>
  </w:style>
  <w:style w:type="paragraph" w:styleId="Title">
    <w:name w:val="Title"/>
    <w:basedOn w:val="Normal"/>
    <w:next w:val="Normal"/>
    <w:link w:val="TitleChar"/>
    <w:uiPriority w:val="10"/>
    <w:qFormat/>
    <w:rsid w:val="005832D5"/>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5832D5"/>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5832D5"/>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5832D5"/>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5832D5"/>
    <w:pPr>
      <w:spacing w:before="160"/>
      <w:jc w:val="center"/>
    </w:pPr>
    <w:rPr>
      <w:i/>
      <w:iCs/>
      <w:color w:val="404040" w:themeColor="text1" w:themeTint="BF"/>
    </w:rPr>
  </w:style>
  <w:style w:type="character" w:customStyle="1" w:styleId="QuoteChar">
    <w:name w:val="Quote Char"/>
    <w:basedOn w:val="DefaultParagraphFont"/>
    <w:link w:val="Quote"/>
    <w:uiPriority w:val="29"/>
    <w:rsid w:val="005832D5"/>
    <w:rPr>
      <w:i/>
      <w:iCs/>
      <w:color w:val="404040" w:themeColor="text1" w:themeTint="BF"/>
    </w:rPr>
  </w:style>
  <w:style w:type="paragraph" w:styleId="ListParagraph">
    <w:name w:val="List Paragraph"/>
    <w:basedOn w:val="Normal"/>
    <w:uiPriority w:val="34"/>
    <w:qFormat/>
    <w:rsid w:val="005832D5"/>
    <w:pPr>
      <w:ind w:left="720"/>
      <w:contextualSpacing/>
    </w:pPr>
  </w:style>
  <w:style w:type="character" w:styleId="IntenseEmphasis">
    <w:name w:val="Intense Emphasis"/>
    <w:basedOn w:val="DefaultParagraphFont"/>
    <w:uiPriority w:val="21"/>
    <w:qFormat/>
    <w:rsid w:val="005832D5"/>
    <w:rPr>
      <w:i/>
      <w:iCs/>
      <w:color w:val="0F4761" w:themeColor="accent1" w:themeShade="BF"/>
    </w:rPr>
  </w:style>
  <w:style w:type="paragraph" w:styleId="IntenseQuote">
    <w:name w:val="Intense Quote"/>
    <w:basedOn w:val="Normal"/>
    <w:next w:val="Normal"/>
    <w:link w:val="IntenseQuoteChar"/>
    <w:uiPriority w:val="30"/>
    <w:qFormat/>
    <w:rsid w:val="005832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32D5"/>
    <w:rPr>
      <w:i/>
      <w:iCs/>
      <w:color w:val="0F4761" w:themeColor="accent1" w:themeShade="BF"/>
    </w:rPr>
  </w:style>
  <w:style w:type="character" w:styleId="IntenseReference">
    <w:name w:val="Intense Reference"/>
    <w:basedOn w:val="DefaultParagraphFont"/>
    <w:uiPriority w:val="32"/>
    <w:qFormat/>
    <w:rsid w:val="005832D5"/>
    <w:rPr>
      <w:b/>
      <w:bCs/>
      <w:smallCaps/>
      <w:color w:val="0F4761" w:themeColor="accent1" w:themeShade="BF"/>
      <w:spacing w:val="5"/>
    </w:rPr>
  </w:style>
  <w:style w:type="character" w:styleId="Hyperlink">
    <w:name w:val="Hyperlink"/>
    <w:basedOn w:val="DefaultParagraphFont"/>
    <w:uiPriority w:val="99"/>
    <w:unhideWhenUsed/>
    <w:rsid w:val="005832D5"/>
    <w:rPr>
      <w:color w:val="467886" w:themeColor="hyperlink"/>
      <w:u w:val="single"/>
    </w:rPr>
  </w:style>
  <w:style w:type="paragraph" w:styleId="TOCHeading">
    <w:name w:val="TOC Heading"/>
    <w:basedOn w:val="Heading1"/>
    <w:next w:val="Normal"/>
    <w:uiPriority w:val="39"/>
    <w:unhideWhenUsed/>
    <w:qFormat/>
    <w:rsid w:val="005832D5"/>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5832D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80/00014788.2006.973004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09638180701706732" TargetMode="External"/><Relationship Id="rId5" Type="http://schemas.openxmlformats.org/officeDocument/2006/relationships/hyperlink" Target="https://doi.org/10.1007/s11142-012-9188-5"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23</Pages>
  <Words>4891</Words>
  <Characters>27885</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2026-03-19T15:44:00Z</dcterms:created>
  <dcterms:modified xsi:type="dcterms:W3CDTF">2026-03-19T16:07:00Z</dcterms:modified>
</cp:coreProperties>
</file>