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6A6A86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p w14:paraId="0B6F8F65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lastRenderedPageBreak/>
        <w:t>SWOT Analysis of the Acropolis of Athens (Greece)</w:t>
      </w:r>
    </w:p>
    <w:p w14:paraId="51DCCA24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t>SWOT Analysis Table</w:t>
      </w:r>
    </w:p>
    <w:tbl>
      <w:tblPr>
        <w:tblStyle w:val="GridTable1Light-Accent4"/>
        <w:tblW w:w="0" w:type="auto"/>
        <w:tblLook w:val="04A0" w:firstRow="1" w:lastRow="0" w:firstColumn="1" w:lastColumn="0" w:noHBand="0" w:noVBand="1"/>
      </w:tblPr>
      <w:tblGrid>
        <w:gridCol w:w="2345"/>
        <w:gridCol w:w="2168"/>
        <w:gridCol w:w="2302"/>
        <w:gridCol w:w="2201"/>
      </w:tblGrid>
      <w:tr w:rsidR="00CB519B" w:rsidRPr="00CB519B" w14:paraId="1DE92B99" w14:textId="77777777" w:rsidTr="007955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43A69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245B9F37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69F7D413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638FC799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Threats</w:t>
            </w:r>
          </w:p>
        </w:tc>
      </w:tr>
      <w:tr w:rsidR="00CB519B" w:rsidRPr="00CB519B" w14:paraId="2F49238E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53A5F7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UNESCO World Heritage Site and one of the world's most significant symbols of ancient Greek civilization.</w:t>
            </w:r>
          </w:p>
        </w:tc>
        <w:tc>
          <w:tcPr>
            <w:tcW w:w="0" w:type="auto"/>
            <w:hideMark/>
          </w:tcPr>
          <w:p w14:paraId="7B6CBAE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Ancient marble structures require continuous restoration and specialized conservation techniques.</w:t>
            </w:r>
          </w:p>
        </w:tc>
        <w:tc>
          <w:tcPr>
            <w:tcW w:w="0" w:type="auto"/>
            <w:hideMark/>
          </w:tcPr>
          <w:p w14:paraId="154C3BD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Expand digital tourism through Virtual Reality (VR), Augmented Reality (AR), and interactive educational platforms.</w:t>
            </w:r>
          </w:p>
        </w:tc>
        <w:tc>
          <w:tcPr>
            <w:tcW w:w="0" w:type="auto"/>
            <w:hideMark/>
          </w:tcPr>
          <w:p w14:paraId="28A078DB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Air pollution and acid rain accelerate the deterioration of marble monuments.</w:t>
            </w:r>
          </w:p>
        </w:tc>
      </w:tr>
      <w:tr w:rsidR="00CB519B" w:rsidRPr="00CB519B" w14:paraId="753D2F32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E5C8B1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Exceptional historical, architectural, and archaeological importance attracts millions of international visitors each year.</w:t>
            </w:r>
          </w:p>
        </w:tc>
        <w:tc>
          <w:tcPr>
            <w:tcW w:w="0" w:type="auto"/>
            <w:hideMark/>
          </w:tcPr>
          <w:p w14:paraId="4150FA6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High visitor numbers during peak seasons create congestion and reduce visitor experience.</w:t>
            </w:r>
          </w:p>
        </w:tc>
        <w:tc>
          <w:tcPr>
            <w:tcW w:w="0" w:type="auto"/>
            <w:hideMark/>
          </w:tcPr>
          <w:p w14:paraId="5AA4166A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Strengthen partnerships with international universities and cultural institutions for research and conservation.</w:t>
            </w:r>
          </w:p>
        </w:tc>
        <w:tc>
          <w:tcPr>
            <w:tcW w:w="0" w:type="auto"/>
            <w:hideMark/>
          </w:tcPr>
          <w:p w14:paraId="63FCD325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Earthquakes and climate change pose long-term risks to structural stability.</w:t>
            </w:r>
          </w:p>
        </w:tc>
      </w:tr>
      <w:tr w:rsidR="00CB519B" w:rsidRPr="00CB519B" w14:paraId="26FAFE10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487B9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Strong contribution to Greece's tourism economy and global cultural reputation.</w:t>
            </w:r>
          </w:p>
        </w:tc>
        <w:tc>
          <w:tcPr>
            <w:tcW w:w="0" w:type="auto"/>
            <w:hideMark/>
          </w:tcPr>
          <w:p w14:paraId="42B91A74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Accessibility challenges for elderly and disabled visitors due to the site's steep terrain.</w:t>
            </w:r>
          </w:p>
        </w:tc>
        <w:tc>
          <w:tcPr>
            <w:tcW w:w="0" w:type="auto"/>
            <w:hideMark/>
          </w:tcPr>
          <w:p w14:paraId="5238B77F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Promote sustainable tourism and community-based cultural initiatives.</w:t>
            </w:r>
          </w:p>
        </w:tc>
        <w:tc>
          <w:tcPr>
            <w:tcW w:w="0" w:type="auto"/>
            <w:hideMark/>
          </w:tcPr>
          <w:p w14:paraId="64E4576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Vandalism, urban pollution, and excessive tourism may negatively impact the site's preservation.</w:t>
            </w:r>
          </w:p>
        </w:tc>
      </w:tr>
    </w:tbl>
    <w:p w14:paraId="05F18342" w14:textId="3A98F91B" w:rsidR="00CB519B" w:rsidRDefault="00CB519B" w:rsidP="00CB519B">
      <w:pPr>
        <w:pStyle w:val="ListParagraph"/>
        <w:spacing w:line="276" w:lineRule="auto"/>
        <w:rPr>
          <w:lang w:val="en-GB"/>
        </w:rPr>
      </w:pPr>
    </w:p>
    <w:p w14:paraId="2CBE5264" w14:textId="77777777" w:rsidR="007955FE" w:rsidRDefault="007955FE" w:rsidP="00CB519B">
      <w:pPr>
        <w:pStyle w:val="ListParagraph"/>
        <w:spacing w:line="276" w:lineRule="auto"/>
        <w:rPr>
          <w:lang w:val="en-GB"/>
        </w:rPr>
      </w:pPr>
    </w:p>
    <w:p w14:paraId="645A4C6B" w14:textId="77777777" w:rsidR="007955FE" w:rsidRDefault="007955FE" w:rsidP="00CB519B">
      <w:pPr>
        <w:pStyle w:val="ListParagraph"/>
        <w:spacing w:line="276" w:lineRule="auto"/>
        <w:rPr>
          <w:lang w:val="en-GB"/>
        </w:rPr>
      </w:pPr>
    </w:p>
    <w:p w14:paraId="680E53F5" w14:textId="77777777" w:rsidR="007955FE" w:rsidRPr="00CB519B" w:rsidRDefault="007955FE" w:rsidP="00CB519B">
      <w:pPr>
        <w:pStyle w:val="ListParagraph"/>
        <w:spacing w:line="276" w:lineRule="auto"/>
        <w:rPr>
          <w:lang w:val="en-GB"/>
        </w:rPr>
      </w:pPr>
    </w:p>
    <w:p w14:paraId="1D452D7B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lastRenderedPageBreak/>
        <w:t>Linking the SWOT Analysis to Objectives, Strategies, and Actions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2132"/>
        <w:gridCol w:w="2228"/>
        <w:gridCol w:w="2383"/>
        <w:gridCol w:w="2273"/>
      </w:tblGrid>
      <w:tr w:rsidR="00CB519B" w:rsidRPr="00CB519B" w14:paraId="219E38E9" w14:textId="77777777" w:rsidTr="007955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EE8B7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376A4960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38DB13C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6DD50E9B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Actions</w:t>
            </w:r>
          </w:p>
        </w:tc>
      </w:tr>
      <w:tr w:rsidR="00CB519B" w:rsidRPr="00CB519B" w14:paraId="26425EC1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DFA0C00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 1: UNESCO World Heritage status</w:t>
            </w:r>
          </w:p>
        </w:tc>
        <w:tc>
          <w:tcPr>
            <w:tcW w:w="0" w:type="auto"/>
            <w:hideMark/>
          </w:tcPr>
          <w:p w14:paraId="0CAB2F2D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Preserve the Acropolis as a globally recognized cultural heritage site.</w:t>
            </w:r>
          </w:p>
        </w:tc>
        <w:tc>
          <w:tcPr>
            <w:tcW w:w="0" w:type="auto"/>
            <w:hideMark/>
          </w:tcPr>
          <w:p w14:paraId="1E3D764A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Strengthen international heritage conservation partnerships.</w:t>
            </w:r>
          </w:p>
        </w:tc>
        <w:tc>
          <w:tcPr>
            <w:tcW w:w="0" w:type="auto"/>
            <w:hideMark/>
          </w:tcPr>
          <w:p w14:paraId="36EFBD6A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Collaborate with UNESCO, the Greek Ministry of Culture, and international conservation organizations to secure funding and technical expertise.</w:t>
            </w:r>
          </w:p>
        </w:tc>
      </w:tr>
      <w:tr w:rsidR="00CB519B" w:rsidRPr="00CB519B" w14:paraId="239824A2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39E46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 2: Historical and architectural significance</w:t>
            </w:r>
          </w:p>
        </w:tc>
        <w:tc>
          <w:tcPr>
            <w:tcW w:w="0" w:type="auto"/>
            <w:hideMark/>
          </w:tcPr>
          <w:p w14:paraId="56FB6E6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Enhance cultural education and heritage appreciation.</w:t>
            </w:r>
          </w:p>
        </w:tc>
        <w:tc>
          <w:tcPr>
            <w:tcW w:w="0" w:type="auto"/>
            <w:hideMark/>
          </w:tcPr>
          <w:p w14:paraId="06C62C8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Promote educational tourism and cultural awareness.</w:t>
            </w:r>
          </w:p>
        </w:tc>
        <w:tc>
          <w:tcPr>
            <w:tcW w:w="0" w:type="auto"/>
            <w:hideMark/>
          </w:tcPr>
          <w:p w14:paraId="7BA5D2E2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Organize guided tours, museum exhibitions, educational workshops, and historical interpretation programs.</w:t>
            </w:r>
          </w:p>
        </w:tc>
      </w:tr>
      <w:tr w:rsidR="00CB519B" w:rsidRPr="00CB519B" w14:paraId="73856D8A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EC2307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Strength 3: High tourism demand</w:t>
            </w:r>
          </w:p>
        </w:tc>
        <w:tc>
          <w:tcPr>
            <w:tcW w:w="0" w:type="auto"/>
            <w:hideMark/>
          </w:tcPr>
          <w:p w14:paraId="1ACB433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Increase tourism benefits while maintaining site integrity.</w:t>
            </w:r>
          </w:p>
        </w:tc>
        <w:tc>
          <w:tcPr>
            <w:tcW w:w="0" w:type="auto"/>
            <w:hideMark/>
          </w:tcPr>
          <w:p w14:paraId="02DE6EF9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Improve visitor management and tourism infrastructure.</w:t>
            </w:r>
          </w:p>
        </w:tc>
        <w:tc>
          <w:tcPr>
            <w:tcW w:w="0" w:type="auto"/>
            <w:hideMark/>
          </w:tcPr>
          <w:p w14:paraId="2A53FFB4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Introduce timed-entry systems, multilingual information services, and enhanced visitor centres.</w:t>
            </w:r>
          </w:p>
        </w:tc>
      </w:tr>
      <w:tr w:rsidR="00CB519B" w:rsidRPr="00CB519B" w14:paraId="51B002F6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0C82D1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Weakness 1: High conservation costs</w:t>
            </w:r>
          </w:p>
        </w:tc>
        <w:tc>
          <w:tcPr>
            <w:tcW w:w="0" w:type="auto"/>
            <w:hideMark/>
          </w:tcPr>
          <w:p w14:paraId="7A776D4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Ensure long-term preservation of ancient structures.</w:t>
            </w:r>
          </w:p>
        </w:tc>
        <w:tc>
          <w:tcPr>
            <w:tcW w:w="0" w:type="auto"/>
            <w:hideMark/>
          </w:tcPr>
          <w:p w14:paraId="52A72789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Diversify financial support for conservation projects.</w:t>
            </w:r>
          </w:p>
        </w:tc>
        <w:tc>
          <w:tcPr>
            <w:tcW w:w="0" w:type="auto"/>
            <w:hideMark/>
          </w:tcPr>
          <w:p w14:paraId="71A49333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 xml:space="preserve">Obtain government funding, international grants, corporate sponsorships, </w:t>
            </w:r>
            <w:r w:rsidRPr="00CB519B">
              <w:rPr>
                <w:lang w:val="en-GB"/>
              </w:rPr>
              <w:lastRenderedPageBreak/>
              <w:t>and allocate tourism revenue to restoration activities.</w:t>
            </w:r>
          </w:p>
        </w:tc>
      </w:tr>
      <w:tr w:rsidR="00CB519B" w:rsidRPr="00CB519B" w14:paraId="30961FAF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686E85E2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lastRenderedPageBreak/>
              <w:t>Weakness 2: Visitor congestion</w:t>
            </w:r>
          </w:p>
        </w:tc>
        <w:tc>
          <w:tcPr>
            <w:tcW w:w="0" w:type="auto"/>
            <w:hideMark/>
          </w:tcPr>
          <w:p w14:paraId="73132C3B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Improve visitor experience while protecting archaeological remains.</w:t>
            </w:r>
          </w:p>
        </w:tc>
        <w:tc>
          <w:tcPr>
            <w:tcW w:w="0" w:type="auto"/>
            <w:hideMark/>
          </w:tcPr>
          <w:p w14:paraId="4194BA4F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Implement effective crowd management strategies.</w:t>
            </w:r>
          </w:p>
        </w:tc>
        <w:tc>
          <w:tcPr>
            <w:tcW w:w="0" w:type="auto"/>
            <w:hideMark/>
          </w:tcPr>
          <w:p w14:paraId="01BC51AE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Limit visitor numbers during peak periods, introduce online booking, and encourage off-season tourism.</w:t>
            </w:r>
          </w:p>
        </w:tc>
      </w:tr>
      <w:tr w:rsidR="00CB519B" w:rsidRPr="00CB519B" w14:paraId="69DB752B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A4A3B2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Weakness 3: Accessibility limitations</w:t>
            </w:r>
          </w:p>
        </w:tc>
        <w:tc>
          <w:tcPr>
            <w:tcW w:w="0" w:type="auto"/>
            <w:hideMark/>
          </w:tcPr>
          <w:p w14:paraId="5CCBB841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Improve access without compromising heritage values.</w:t>
            </w:r>
          </w:p>
        </w:tc>
        <w:tc>
          <w:tcPr>
            <w:tcW w:w="0" w:type="auto"/>
            <w:hideMark/>
          </w:tcPr>
          <w:p w14:paraId="0E689033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Upgrade accessible infrastructure responsibly.</w:t>
            </w:r>
          </w:p>
        </w:tc>
        <w:tc>
          <w:tcPr>
            <w:tcW w:w="0" w:type="auto"/>
            <w:hideMark/>
          </w:tcPr>
          <w:p w14:paraId="5C70AE4C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Install accessible pathways where feasible, improve signage, and provide mobility assistance services.</w:t>
            </w:r>
          </w:p>
        </w:tc>
      </w:tr>
      <w:tr w:rsidR="00CB519B" w:rsidRPr="00CB519B" w14:paraId="32A84D52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2AF17A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Opportunity 1: Digital heritage technologies</w:t>
            </w:r>
          </w:p>
        </w:tc>
        <w:tc>
          <w:tcPr>
            <w:tcW w:w="0" w:type="auto"/>
            <w:hideMark/>
          </w:tcPr>
          <w:p w14:paraId="417E9CA7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Increase global engagement with the Acropolis.</w:t>
            </w:r>
          </w:p>
        </w:tc>
        <w:tc>
          <w:tcPr>
            <w:tcW w:w="0" w:type="auto"/>
            <w:hideMark/>
          </w:tcPr>
          <w:p w14:paraId="314C8983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Invest in innovative digital tourism solutions.</w:t>
            </w:r>
          </w:p>
        </w:tc>
        <w:tc>
          <w:tcPr>
            <w:tcW w:w="0" w:type="auto"/>
            <w:hideMark/>
          </w:tcPr>
          <w:p w14:paraId="60442E12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Develop VR experiences, AR mobile applications, virtual museum tours, and interactive learning resources.</w:t>
            </w:r>
          </w:p>
        </w:tc>
      </w:tr>
      <w:tr w:rsidR="00CB519B" w:rsidRPr="00CB519B" w14:paraId="4B673730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DAB0206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 xml:space="preserve">Opportunity 2: International academic </w:t>
            </w:r>
            <w:r w:rsidRPr="00CB519B">
              <w:rPr>
                <w:lang w:val="en-GB"/>
              </w:rPr>
              <w:lastRenderedPageBreak/>
              <w:t>collaboration</w:t>
            </w:r>
          </w:p>
        </w:tc>
        <w:tc>
          <w:tcPr>
            <w:tcW w:w="0" w:type="auto"/>
            <w:hideMark/>
          </w:tcPr>
          <w:p w14:paraId="2479AC13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lastRenderedPageBreak/>
              <w:t xml:space="preserve">Advance archaeological research and </w:t>
            </w:r>
            <w:r w:rsidRPr="00CB519B">
              <w:rPr>
                <w:lang w:val="en-GB"/>
              </w:rPr>
              <w:lastRenderedPageBreak/>
              <w:t>conservation knowledge.</w:t>
            </w:r>
          </w:p>
        </w:tc>
        <w:tc>
          <w:tcPr>
            <w:tcW w:w="0" w:type="auto"/>
            <w:hideMark/>
          </w:tcPr>
          <w:p w14:paraId="6ACB0D2C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lastRenderedPageBreak/>
              <w:t>Establish partnerships with research institutions.</w:t>
            </w:r>
          </w:p>
        </w:tc>
        <w:tc>
          <w:tcPr>
            <w:tcW w:w="0" w:type="auto"/>
            <w:hideMark/>
          </w:tcPr>
          <w:p w14:paraId="0AC53AA3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 xml:space="preserve">Conduct joint archaeological projects, conservation workshops, </w:t>
            </w:r>
            <w:r w:rsidRPr="00CB519B">
              <w:rPr>
                <w:lang w:val="en-GB"/>
              </w:rPr>
              <w:lastRenderedPageBreak/>
              <w:t>and student exchange programs.</w:t>
            </w:r>
          </w:p>
        </w:tc>
      </w:tr>
      <w:tr w:rsidR="00CB519B" w:rsidRPr="00CB519B" w14:paraId="52658D41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BCFA36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lastRenderedPageBreak/>
              <w:t>Opportunity 3: Sustainable tourism</w:t>
            </w:r>
          </w:p>
        </w:tc>
        <w:tc>
          <w:tcPr>
            <w:tcW w:w="0" w:type="auto"/>
            <w:hideMark/>
          </w:tcPr>
          <w:p w14:paraId="59D7D849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Promote responsible tourism and local economic development.</w:t>
            </w:r>
          </w:p>
        </w:tc>
        <w:tc>
          <w:tcPr>
            <w:tcW w:w="0" w:type="auto"/>
            <w:hideMark/>
          </w:tcPr>
          <w:p w14:paraId="48914D39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Encourage environmentally sustainable tourism practices.</w:t>
            </w:r>
          </w:p>
        </w:tc>
        <w:tc>
          <w:tcPr>
            <w:tcW w:w="0" w:type="auto"/>
            <w:hideMark/>
          </w:tcPr>
          <w:p w14:paraId="094C625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Support local businesses, promote eco-friendly transportation, and implement waste reduction initiatives.</w:t>
            </w:r>
          </w:p>
        </w:tc>
      </w:tr>
      <w:tr w:rsidR="00CB519B" w:rsidRPr="00CB519B" w14:paraId="0F35F4CE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CE8D4C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Threat 1: Air pollution</w:t>
            </w:r>
          </w:p>
        </w:tc>
        <w:tc>
          <w:tcPr>
            <w:tcW w:w="0" w:type="auto"/>
            <w:hideMark/>
          </w:tcPr>
          <w:p w14:paraId="2B387C5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Reduce environmental damage to the marble structures.</w:t>
            </w:r>
          </w:p>
        </w:tc>
        <w:tc>
          <w:tcPr>
            <w:tcW w:w="0" w:type="auto"/>
            <w:hideMark/>
          </w:tcPr>
          <w:p w14:paraId="3105D99D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Strengthen environmental protection measures.</w:t>
            </w:r>
          </w:p>
        </w:tc>
        <w:tc>
          <w:tcPr>
            <w:tcW w:w="0" w:type="auto"/>
            <w:hideMark/>
          </w:tcPr>
          <w:p w14:paraId="487A19A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Monitor air quality, carry out regular cleaning, and apply advanced conservation treatments to protect the marble.</w:t>
            </w:r>
          </w:p>
        </w:tc>
      </w:tr>
      <w:tr w:rsidR="00CB519B" w:rsidRPr="00CB519B" w14:paraId="475950E4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FD48F9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Threat 2: Earthquakes and climate change</w:t>
            </w:r>
          </w:p>
        </w:tc>
        <w:tc>
          <w:tcPr>
            <w:tcW w:w="0" w:type="auto"/>
            <w:hideMark/>
          </w:tcPr>
          <w:p w14:paraId="46E52C8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Improve resilience against natural disasters.</w:t>
            </w:r>
          </w:p>
        </w:tc>
        <w:tc>
          <w:tcPr>
            <w:tcW w:w="0" w:type="auto"/>
            <w:hideMark/>
          </w:tcPr>
          <w:p w14:paraId="60EA4076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Develop disaster preparedness and risk management plans.</w:t>
            </w:r>
          </w:p>
        </w:tc>
        <w:tc>
          <w:tcPr>
            <w:tcW w:w="0" w:type="auto"/>
            <w:hideMark/>
          </w:tcPr>
          <w:p w14:paraId="15B7CDA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Install structural monitoring systems, conduct regular inspections, and implement emergency response procedures.</w:t>
            </w:r>
          </w:p>
        </w:tc>
      </w:tr>
      <w:tr w:rsidR="00CB519B" w:rsidRPr="00CB519B" w14:paraId="5B3B3C1D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8110C5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Threat 3: Vandalism and overtourism</w:t>
            </w:r>
          </w:p>
        </w:tc>
        <w:tc>
          <w:tcPr>
            <w:tcW w:w="0" w:type="auto"/>
            <w:hideMark/>
          </w:tcPr>
          <w:p w14:paraId="1A6D3C85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Protect the archaeological site and visitors.</w:t>
            </w:r>
          </w:p>
        </w:tc>
        <w:tc>
          <w:tcPr>
            <w:tcW w:w="0" w:type="auto"/>
            <w:hideMark/>
          </w:tcPr>
          <w:p w14:paraId="6BB783D2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Enhance security and visitor regulations.</w:t>
            </w:r>
          </w:p>
        </w:tc>
        <w:tc>
          <w:tcPr>
            <w:tcW w:w="0" w:type="auto"/>
            <w:hideMark/>
          </w:tcPr>
          <w:p w14:paraId="7A48F065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 xml:space="preserve">Increase CCTV surveillance, deploy trained security </w:t>
            </w:r>
            <w:r w:rsidRPr="00CB519B">
              <w:rPr>
                <w:lang w:val="en-GB"/>
              </w:rPr>
              <w:lastRenderedPageBreak/>
              <w:t>personnel, enforce stricter penalties, and establish protected visitor pathways.</w:t>
            </w:r>
          </w:p>
        </w:tc>
      </w:tr>
    </w:tbl>
    <w:p w14:paraId="0A7E1442" w14:textId="5B4DE330" w:rsidR="00CB519B" w:rsidRDefault="00CB519B" w:rsidP="00CB519B">
      <w:pPr>
        <w:pStyle w:val="ListParagraph"/>
        <w:spacing w:line="276" w:lineRule="auto"/>
        <w:rPr>
          <w:lang w:val="en-GB"/>
        </w:rPr>
      </w:pPr>
    </w:p>
    <w:p w14:paraId="7A4C5D9D" w14:textId="77777777" w:rsidR="007955FE" w:rsidRPr="00CB519B" w:rsidRDefault="007955FE" w:rsidP="00CB519B">
      <w:pPr>
        <w:pStyle w:val="ListParagraph"/>
        <w:spacing w:line="276" w:lineRule="auto"/>
        <w:rPr>
          <w:lang w:val="en-GB"/>
        </w:rPr>
      </w:pPr>
    </w:p>
    <w:p w14:paraId="21DBD4C9" w14:textId="77777777" w:rsidR="00CB519B" w:rsidRPr="00CB519B" w:rsidRDefault="00CB519B" w:rsidP="00CB519B">
      <w:pPr>
        <w:pStyle w:val="ListParagraph"/>
        <w:spacing w:line="276" w:lineRule="auto"/>
        <w:rPr>
          <w:b/>
          <w:bCs/>
          <w:lang w:val="en-GB"/>
        </w:rPr>
      </w:pPr>
      <w:r w:rsidRPr="00CB519B">
        <w:rPr>
          <w:b/>
          <w:bCs/>
          <w:lang w:val="en-GB"/>
        </w:rPr>
        <w:t>Summary Table</w:t>
      </w:r>
    </w:p>
    <w:tbl>
      <w:tblPr>
        <w:tblStyle w:val="GridTable1Light-Accent2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CB519B" w:rsidRPr="00CB519B" w14:paraId="6DFF42D1" w14:textId="77777777" w:rsidTr="007955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97EEE53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6589AEAE" w14:textId="77777777" w:rsidR="00CB519B" w:rsidRPr="00CB519B" w:rsidRDefault="00CB519B" w:rsidP="00CB519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Key Focus</w:t>
            </w:r>
          </w:p>
        </w:tc>
      </w:tr>
      <w:tr w:rsidR="00CB519B" w:rsidRPr="00CB519B" w14:paraId="45ACA8A5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4B3448F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1C5A0CE0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Preserve the Acropolis' cultural heritage, improve visitor experience, strengthen conservation, support sustainable tourism, and enhance educational value.</w:t>
            </w:r>
          </w:p>
        </w:tc>
      </w:tr>
      <w:tr w:rsidR="00CB519B" w:rsidRPr="00CB519B" w14:paraId="32E544F2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BCE8F6C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0E60CEAC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Heritage conservation, digital innovation, sustainable tourism, visitor management, international collaboration, and environmental protection.</w:t>
            </w:r>
          </w:p>
        </w:tc>
      </w:tr>
      <w:tr w:rsidR="00CB519B" w:rsidRPr="00CB519B" w14:paraId="060FED9A" w14:textId="77777777" w:rsidTr="007955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92D50D" w14:textId="77777777" w:rsidR="00CB519B" w:rsidRPr="00CB519B" w:rsidRDefault="00CB519B" w:rsidP="00CB519B">
            <w:pPr>
              <w:pStyle w:val="ListParagraph"/>
              <w:spacing w:line="276" w:lineRule="auto"/>
              <w:rPr>
                <w:lang w:val="en-GB"/>
              </w:rPr>
            </w:pPr>
            <w:r w:rsidRPr="00CB519B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3C042518" w14:textId="77777777" w:rsidR="00CB519B" w:rsidRPr="00CB519B" w:rsidRDefault="00CB519B" w:rsidP="00CB519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CB519B">
              <w:rPr>
                <w:lang w:val="en-GB"/>
              </w:rPr>
              <w:t>Restoration projects, VR and AR experiences, online ticketing, educational programs, accessibility improvements, pollution monitoring, enhanced security, disaster preparedness, and partnerships with academic institutions.</w:t>
            </w:r>
          </w:p>
        </w:tc>
      </w:tr>
    </w:tbl>
    <w:p w14:paraId="5540354F" w14:textId="77777777" w:rsidR="00CB519B" w:rsidRDefault="00CB519B" w:rsidP="004E190D">
      <w:pPr>
        <w:pStyle w:val="ListParagraph"/>
        <w:spacing w:line="276" w:lineRule="auto"/>
        <w:ind w:left="0"/>
        <w:rPr>
          <w:lang w:val="en-US"/>
        </w:rPr>
      </w:pPr>
    </w:p>
    <w:sectPr w:rsidR="00CB51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F209C15-3362-4EE7-BEDC-F2919C279EAF}"/>
    <w:embedBold r:id="rId2" w:fontKey="{A27F9FAD-1E87-4AB7-A878-0AECA2C7D86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11430069-B01C-482D-859D-0CC33C2E2F12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4C864F8B-87DB-4632-9F7B-8C404584347C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1E1286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955FE"/>
    <w:rsid w:val="007C7917"/>
    <w:rsid w:val="00844EC2"/>
    <w:rsid w:val="008516FE"/>
    <w:rsid w:val="0089075B"/>
    <w:rsid w:val="009231A0"/>
    <w:rsid w:val="00942251"/>
    <w:rsid w:val="009C1D0A"/>
    <w:rsid w:val="00A044F7"/>
    <w:rsid w:val="00A057BE"/>
    <w:rsid w:val="00A437B5"/>
    <w:rsid w:val="00A8150E"/>
    <w:rsid w:val="00B20343"/>
    <w:rsid w:val="00B62C8D"/>
    <w:rsid w:val="00B85EA7"/>
    <w:rsid w:val="00BE5257"/>
    <w:rsid w:val="00BE65DD"/>
    <w:rsid w:val="00C612A4"/>
    <w:rsid w:val="00C80777"/>
    <w:rsid w:val="00CB519B"/>
    <w:rsid w:val="00CC6AD1"/>
    <w:rsid w:val="00CF34F8"/>
    <w:rsid w:val="00DB7FC2"/>
    <w:rsid w:val="00E3345A"/>
    <w:rsid w:val="00E6778A"/>
    <w:rsid w:val="00E67A86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67A86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6Colorful">
    <w:name w:val="List Table 6 Colorful"/>
    <w:basedOn w:val="TableNormal"/>
    <w:uiPriority w:val="51"/>
    <w:rsid w:val="001E1286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5Dark-Accent6">
    <w:name w:val="List Table 5 Dark Accent 6"/>
    <w:basedOn w:val="TableNormal"/>
    <w:uiPriority w:val="50"/>
    <w:rsid w:val="001E1286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GridTable1Light-Accent2">
    <w:name w:val="Grid Table 1 Light Accent 2"/>
    <w:basedOn w:val="TableNormal"/>
    <w:uiPriority w:val="46"/>
    <w:rsid w:val="00DB7FC2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CB519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1Light-Accent4">
    <w:name w:val="Grid Table 1 Light Accent 4"/>
    <w:basedOn w:val="TableNormal"/>
    <w:uiPriority w:val="46"/>
    <w:rsid w:val="007955FE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2026-06-25T14:09:00Z</dcterms:created>
  <dcterms:modified xsi:type="dcterms:W3CDTF">2026-06-25T14:09:00Z</dcterms:modified>
</cp:coreProperties>
</file>