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jc w:val="center"/>
      </w:pPr>
      <w:r>
        <w:rPr>
          <w:rFonts w:ascii="Times New Roman" w:hAnsi="Times New Roman"/>
          <w:b/>
          <w:color w:val="1F4E79"/>
          <w:sz w:val="42"/>
        </w:rPr>
        <w:t>Designing the 7Ps for Regenerative Luxury at Six Senses Laamu</w:t>
      </w:r>
    </w:p>
    <w:p>
      <w:pPr>
        <w:jc w:val="center"/>
      </w:pPr>
      <w:r>
        <w:rPr>
          <w:rFonts w:ascii="Times New Roman" w:hAnsi="Times New Roman"/>
          <w:i/>
          <w:color w:val="505050"/>
          <w:sz w:val="28"/>
        </w:rPr>
        <w:t>An Integrated Sustainable Hospitality Marketing Strategy</w:t>
      </w:r>
    </w:p>
    <w:p/>
    <w:tbl>
      <w:tblPr>
        <w:tblW w:type="auto" w:w="0"/>
        <w:jc w:val="center"/>
        <w:tblLayout w:type="fixed"/>
        <w:tblLook w:firstColumn="1" w:firstRow="1" w:lastColumn="0" w:lastRow="0" w:noHBand="0" w:noVBand="1" w:val="04A0"/>
      </w:tblPr>
      <w:tblGrid>
        <w:gridCol w:w="2304"/>
        <w:gridCol w:w="7056"/>
      </w:tblGrid>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Module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Marketing Fundamentals</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Assessment</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Detailed Project Report</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Assignment Option</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Option 2 - Designing the Extended Marketing Mix (7 Ps) for Sustainable Hospitality</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Case Focus</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Six Senses Laamu, Maldives</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Name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ID</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Submission Date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bl>
    <w:p/>
    <w:p>
      <w:r>
        <w:br w:type="page"/>
      </w:r>
    </w:p>
    <w:p>
      <w:pPr>
        <w:pStyle w:val="Heading1"/>
        <w:spacing w:before="0" w:after="200" w:line="240" w:lineRule="auto"/>
        <w:ind w:firstLine="0"/>
        <w:jc w:val="center"/>
      </w:pPr>
      <w:r>
        <w:rPr>
          <w:rFonts w:ascii="Times New Roman" w:hAnsi="Times New Roman"/>
          <w:b/>
          <w:sz w:val="28"/>
        </w:rPr>
        <w:t>Table of Contents</w:t>
      </w:r>
    </w:p>
    <w:p>
      <w:pPr>
        <w:keepLines/>
        <w:tabs>
          <w:tab w:pos="9734" w:val="right" w:leader="dot"/>
        </w:tabs>
        <w:spacing w:line="240" w:lineRule="auto" w:before="0" w:after="40"/>
        <w:ind w:left="0" w:firstLine="0"/>
      </w:pPr>
      <w:r>
        <w:rPr>
          <w:rFonts w:ascii="Times New Roman" w:hAnsi="Times New Roman"/>
          <w:b/>
          <w:sz w:val="22"/>
        </w:rPr>
        <w:t>Executive Summary</w:t>
      </w:r>
      <w:r>
        <w:rPr>
          <w:rFonts w:ascii="Times New Roman" w:hAnsi="Times New Roman"/>
          <w:b/>
          <w:sz w:val="22"/>
        </w:rPr>
        <w:tab/>
      </w:r>
      <w:r>
        <w:rPr>
          <w:rFonts w:ascii="Times New Roman" w:hAnsi="Times New Roman"/>
          <w:b/>
          <w:sz w:val="22"/>
        </w:rPr>
        <w:t>3</w:t>
      </w:r>
    </w:p>
    <w:p>
      <w:pPr>
        <w:keepLines/>
        <w:tabs>
          <w:tab w:pos="9734" w:val="right" w:leader="dot"/>
        </w:tabs>
        <w:spacing w:line="240" w:lineRule="auto" w:before="0" w:after="40"/>
        <w:ind w:left="0" w:firstLine="0"/>
      </w:pPr>
      <w:r>
        <w:rPr>
          <w:rFonts w:ascii="Times New Roman" w:hAnsi="Times New Roman"/>
          <w:b/>
          <w:sz w:val="22"/>
        </w:rPr>
        <w:t>Introduction</w:t>
      </w:r>
      <w:r>
        <w:rPr>
          <w:rFonts w:ascii="Times New Roman" w:hAnsi="Times New Roman"/>
          <w:b/>
          <w:sz w:val="22"/>
        </w:rPr>
        <w:tab/>
      </w:r>
      <w:r>
        <w:rPr>
          <w:rFonts w:ascii="Times New Roman" w:hAnsi="Times New Roman"/>
          <w:b/>
          <w:sz w:val="22"/>
        </w:rPr>
        <w:t>4</w:t>
      </w:r>
    </w:p>
    <w:p>
      <w:pPr>
        <w:keepLines/>
        <w:tabs>
          <w:tab w:pos="9734" w:val="right" w:leader="dot"/>
        </w:tabs>
        <w:spacing w:line="240" w:lineRule="auto" w:before="0" w:after="0"/>
        <w:ind w:left="403" w:firstLine="0"/>
      </w:pPr>
      <w:r>
        <w:rPr>
          <w:rFonts w:ascii="Times New Roman" w:hAnsi="Times New Roman"/>
          <w:b w:val="0"/>
          <w:sz w:val="22"/>
        </w:rPr>
        <w:t>Strategic Aim</w:t>
      </w:r>
      <w:r>
        <w:rPr>
          <w:rFonts w:ascii="Times New Roman" w:hAnsi="Times New Roman"/>
          <w:b w:val="0"/>
          <w:sz w:val="22"/>
        </w:rPr>
        <w:tab/>
      </w:r>
      <w:r>
        <w:rPr>
          <w:rFonts w:ascii="Times New Roman" w:hAnsi="Times New Roman"/>
          <w:b w:val="0"/>
          <w:sz w:val="22"/>
        </w:rPr>
        <w:t>5</w:t>
      </w:r>
    </w:p>
    <w:p>
      <w:pPr>
        <w:keepLines/>
        <w:tabs>
          <w:tab w:pos="9734" w:val="right" w:leader="dot"/>
        </w:tabs>
        <w:spacing w:line="240" w:lineRule="auto" w:before="0" w:after="40"/>
        <w:ind w:left="0" w:firstLine="0"/>
      </w:pPr>
      <w:r>
        <w:rPr>
          <w:rFonts w:ascii="Times New Roman" w:hAnsi="Times New Roman"/>
          <w:b/>
          <w:sz w:val="22"/>
        </w:rPr>
        <w:t>Market &amp; Consumer Behaviour Analysis</w:t>
      </w:r>
      <w:r>
        <w:rPr>
          <w:rFonts w:ascii="Times New Roman" w:hAnsi="Times New Roman"/>
          <w:b/>
          <w:sz w:val="22"/>
        </w:rPr>
        <w:tab/>
      </w:r>
      <w:r>
        <w:rPr>
          <w:rFonts w:ascii="Times New Roman" w:hAnsi="Times New Roman"/>
          <w:b/>
          <w:sz w:val="22"/>
        </w:rPr>
        <w:t>5</w:t>
      </w:r>
    </w:p>
    <w:p>
      <w:pPr>
        <w:keepLines/>
        <w:tabs>
          <w:tab w:pos="9734" w:val="right" w:leader="dot"/>
        </w:tabs>
        <w:spacing w:line="240" w:lineRule="auto" w:before="0" w:after="0"/>
        <w:ind w:left="403" w:firstLine="0"/>
      </w:pPr>
      <w:r>
        <w:rPr>
          <w:rFonts w:ascii="Times New Roman" w:hAnsi="Times New Roman"/>
          <w:b w:val="0"/>
          <w:sz w:val="22"/>
        </w:rPr>
        <w:t>Sustainable Luxury Demand</w:t>
      </w:r>
      <w:r>
        <w:rPr>
          <w:rFonts w:ascii="Times New Roman" w:hAnsi="Times New Roman"/>
          <w:b w:val="0"/>
          <w:sz w:val="22"/>
        </w:rPr>
        <w:tab/>
      </w:r>
      <w:r>
        <w:rPr>
          <w:rFonts w:ascii="Times New Roman" w:hAnsi="Times New Roman"/>
          <w:b w:val="0"/>
          <w:sz w:val="22"/>
        </w:rPr>
        <w:t>5</w:t>
      </w:r>
    </w:p>
    <w:p>
      <w:pPr>
        <w:keepLines/>
        <w:tabs>
          <w:tab w:pos="9734" w:val="right" w:leader="dot"/>
        </w:tabs>
        <w:spacing w:line="240" w:lineRule="auto" w:before="0" w:after="0"/>
        <w:ind w:left="403" w:firstLine="0"/>
      </w:pPr>
      <w:r>
        <w:rPr>
          <w:rFonts w:ascii="Times New Roman" w:hAnsi="Times New Roman"/>
          <w:b w:val="0"/>
          <w:sz w:val="22"/>
        </w:rPr>
        <w:t>Market Trends</w:t>
      </w:r>
      <w:r>
        <w:rPr>
          <w:rFonts w:ascii="Times New Roman" w:hAnsi="Times New Roman"/>
          <w:b w:val="0"/>
          <w:sz w:val="22"/>
        </w:rPr>
        <w:tab/>
      </w:r>
      <w:r>
        <w:rPr>
          <w:rFonts w:ascii="Times New Roman" w:hAnsi="Times New Roman"/>
          <w:b w:val="0"/>
          <w:sz w:val="22"/>
        </w:rPr>
        <w:t>6</w:t>
      </w:r>
    </w:p>
    <w:p>
      <w:pPr>
        <w:keepLines/>
        <w:tabs>
          <w:tab w:pos="9734" w:val="right" w:leader="dot"/>
        </w:tabs>
        <w:spacing w:line="240" w:lineRule="auto" w:before="0" w:after="0"/>
        <w:ind w:left="403" w:firstLine="0"/>
      </w:pPr>
      <w:r>
        <w:rPr>
          <w:rFonts w:ascii="Times New Roman" w:hAnsi="Times New Roman"/>
          <w:b w:val="0"/>
          <w:sz w:val="22"/>
        </w:rPr>
        <w:t>Consumer Decision Journey</w:t>
      </w:r>
      <w:r>
        <w:rPr>
          <w:rFonts w:ascii="Times New Roman" w:hAnsi="Times New Roman"/>
          <w:b w:val="0"/>
          <w:sz w:val="22"/>
        </w:rPr>
        <w:tab/>
      </w:r>
      <w:r>
        <w:rPr>
          <w:rFonts w:ascii="Times New Roman" w:hAnsi="Times New Roman"/>
          <w:b w:val="0"/>
          <w:sz w:val="22"/>
        </w:rPr>
        <w:t>7</w:t>
      </w:r>
    </w:p>
    <w:p>
      <w:pPr>
        <w:keepLines/>
        <w:tabs>
          <w:tab w:pos="9734" w:val="right" w:leader="dot"/>
        </w:tabs>
        <w:spacing w:line="240" w:lineRule="auto" w:before="0" w:after="40"/>
        <w:ind w:left="0" w:firstLine="0"/>
      </w:pPr>
      <w:r>
        <w:rPr>
          <w:rFonts w:ascii="Times New Roman" w:hAnsi="Times New Roman"/>
          <w:b/>
          <w:sz w:val="22"/>
        </w:rPr>
        <w:t>Segmentation, Targeting, and Positioning (STP)</w:t>
      </w:r>
      <w:r>
        <w:rPr>
          <w:rFonts w:ascii="Times New Roman" w:hAnsi="Times New Roman"/>
          <w:b/>
          <w:sz w:val="22"/>
        </w:rPr>
        <w:tab/>
      </w:r>
      <w:r>
        <w:rPr>
          <w:rFonts w:ascii="Times New Roman" w:hAnsi="Times New Roman"/>
          <w:b/>
          <w:sz w:val="22"/>
        </w:rPr>
        <w:t>8</w:t>
      </w:r>
    </w:p>
    <w:p>
      <w:pPr>
        <w:keepLines/>
        <w:tabs>
          <w:tab w:pos="9734" w:val="right" w:leader="dot"/>
        </w:tabs>
        <w:spacing w:line="240" w:lineRule="auto" w:before="0" w:after="0"/>
        <w:ind w:left="403" w:firstLine="0"/>
      </w:pPr>
      <w:r>
        <w:rPr>
          <w:rFonts w:ascii="Times New Roman" w:hAnsi="Times New Roman"/>
          <w:b w:val="0"/>
          <w:sz w:val="22"/>
        </w:rPr>
        <w:t>Segmentation Logic</w:t>
      </w:r>
      <w:r>
        <w:rPr>
          <w:rFonts w:ascii="Times New Roman" w:hAnsi="Times New Roman"/>
          <w:b w:val="0"/>
          <w:sz w:val="22"/>
        </w:rPr>
        <w:tab/>
      </w:r>
      <w:r>
        <w:rPr>
          <w:rFonts w:ascii="Times New Roman" w:hAnsi="Times New Roman"/>
          <w:b w:val="0"/>
          <w:sz w:val="22"/>
        </w:rPr>
        <w:t>8</w:t>
      </w:r>
    </w:p>
    <w:p>
      <w:pPr>
        <w:keepLines/>
        <w:tabs>
          <w:tab w:pos="9734" w:val="right" w:leader="dot"/>
        </w:tabs>
        <w:spacing w:line="240" w:lineRule="auto" w:before="0" w:after="0"/>
        <w:ind w:left="403" w:firstLine="0"/>
      </w:pPr>
      <w:r>
        <w:rPr>
          <w:rFonts w:ascii="Times New Roman" w:hAnsi="Times New Roman"/>
          <w:b w:val="0"/>
          <w:sz w:val="22"/>
        </w:rPr>
        <w:t>Target Segment 1: Regenerative Luxury Seekers</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0"/>
        <w:ind w:left="403" w:firstLine="0"/>
      </w:pPr>
      <w:r>
        <w:rPr>
          <w:rFonts w:ascii="Times New Roman" w:hAnsi="Times New Roman"/>
          <w:b w:val="0"/>
          <w:sz w:val="22"/>
        </w:rPr>
        <w:t>Target Segment 2: Wellness Transformation Guests</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0"/>
        <w:ind w:left="403" w:firstLine="0"/>
      </w:pPr>
      <w:r>
        <w:rPr>
          <w:rFonts w:ascii="Times New Roman" w:hAnsi="Times New Roman"/>
          <w:b w:val="0"/>
          <w:sz w:val="22"/>
        </w:rPr>
        <w:t>Target Segment 3: Curious Families</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0"/>
        <w:ind w:left="403" w:firstLine="0"/>
      </w:pPr>
      <w:r>
        <w:rPr>
          <w:rFonts w:ascii="Times New Roman" w:hAnsi="Times New Roman"/>
          <w:b w:val="0"/>
          <w:sz w:val="22"/>
        </w:rPr>
        <w:t>Positioning</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40"/>
        <w:ind w:left="0" w:firstLine="0"/>
      </w:pPr>
      <w:r>
        <w:rPr>
          <w:rFonts w:ascii="Times New Roman" w:hAnsi="Times New Roman"/>
          <w:b/>
          <w:sz w:val="22"/>
        </w:rPr>
        <w:t>Extended Tourism Marketing Mix (7 Ps)</w:t>
      </w:r>
      <w:r>
        <w:rPr>
          <w:rFonts w:ascii="Times New Roman" w:hAnsi="Times New Roman"/>
          <w:b/>
          <w:sz w:val="22"/>
        </w:rPr>
        <w:tab/>
      </w:r>
      <w:r>
        <w:rPr>
          <w:rFonts w:ascii="Times New Roman" w:hAnsi="Times New Roman"/>
          <w:b/>
          <w:sz w:val="22"/>
        </w:rPr>
        <w:t>10</w:t>
      </w:r>
    </w:p>
    <w:p>
      <w:pPr>
        <w:keepLines/>
        <w:tabs>
          <w:tab w:pos="9734" w:val="right" w:leader="dot"/>
        </w:tabs>
        <w:spacing w:line="240" w:lineRule="auto" w:before="0" w:after="0"/>
        <w:ind w:left="403" w:firstLine="0"/>
      </w:pPr>
      <w:r>
        <w:rPr>
          <w:rFonts w:ascii="Times New Roman" w:hAnsi="Times New Roman"/>
          <w:b w:val="0"/>
          <w:sz w:val="22"/>
        </w:rPr>
        <w:t>Product</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0"/>
        <w:ind w:left="403" w:firstLine="0"/>
      </w:pPr>
      <w:r>
        <w:rPr>
          <w:rFonts w:ascii="Times New Roman" w:hAnsi="Times New Roman"/>
          <w:b w:val="0"/>
          <w:sz w:val="22"/>
        </w:rPr>
        <w:t>Price</w:t>
      </w:r>
      <w:r>
        <w:rPr>
          <w:rFonts w:ascii="Times New Roman" w:hAnsi="Times New Roman"/>
          <w:b w:val="0"/>
          <w:sz w:val="22"/>
        </w:rPr>
        <w:tab/>
      </w:r>
      <w:r>
        <w:rPr>
          <w:rFonts w:ascii="Times New Roman" w:hAnsi="Times New Roman"/>
          <w:b w:val="0"/>
          <w:sz w:val="22"/>
        </w:rPr>
        <w:t>11</w:t>
      </w:r>
    </w:p>
    <w:p>
      <w:pPr>
        <w:keepLines/>
        <w:tabs>
          <w:tab w:pos="9734" w:val="right" w:leader="dot"/>
        </w:tabs>
        <w:spacing w:line="240" w:lineRule="auto" w:before="0" w:after="0"/>
        <w:ind w:left="403" w:firstLine="0"/>
      </w:pPr>
      <w:r>
        <w:rPr>
          <w:rFonts w:ascii="Times New Roman" w:hAnsi="Times New Roman"/>
          <w:b w:val="0"/>
          <w:sz w:val="22"/>
        </w:rPr>
        <w:t>Place</w:t>
      </w:r>
      <w:r>
        <w:rPr>
          <w:rFonts w:ascii="Times New Roman" w:hAnsi="Times New Roman"/>
          <w:b w:val="0"/>
          <w:sz w:val="22"/>
        </w:rPr>
        <w:tab/>
      </w:r>
      <w:r>
        <w:rPr>
          <w:rFonts w:ascii="Times New Roman" w:hAnsi="Times New Roman"/>
          <w:b w:val="0"/>
          <w:sz w:val="22"/>
        </w:rPr>
        <w:t>11</w:t>
      </w:r>
    </w:p>
    <w:p>
      <w:pPr>
        <w:keepLines/>
        <w:tabs>
          <w:tab w:pos="9734" w:val="right" w:leader="dot"/>
        </w:tabs>
        <w:spacing w:line="240" w:lineRule="auto" w:before="0" w:after="0"/>
        <w:ind w:left="403" w:firstLine="0"/>
      </w:pPr>
      <w:r>
        <w:rPr>
          <w:rFonts w:ascii="Times New Roman" w:hAnsi="Times New Roman"/>
          <w:b w:val="0"/>
          <w:sz w:val="22"/>
        </w:rPr>
        <w:t>Promotion</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People</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Process</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Physical Evidence</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40"/>
        <w:ind w:left="0" w:firstLine="0"/>
      </w:pPr>
      <w:r>
        <w:rPr>
          <w:rFonts w:ascii="Times New Roman" w:hAnsi="Times New Roman"/>
          <w:b/>
          <w:sz w:val="22"/>
        </w:rPr>
        <w:t>Implementation, Budgeting &amp; KPIs</w:t>
      </w:r>
      <w:r>
        <w:rPr>
          <w:rFonts w:ascii="Times New Roman" w:hAnsi="Times New Roman"/>
          <w:b/>
          <w:sz w:val="22"/>
        </w:rPr>
        <w:tab/>
      </w:r>
      <w:r>
        <w:rPr>
          <w:rFonts w:ascii="Times New Roman" w:hAnsi="Times New Roman"/>
          <w:b/>
          <w:sz w:val="22"/>
        </w:rPr>
        <w:t>14</w:t>
      </w:r>
    </w:p>
    <w:p>
      <w:pPr>
        <w:keepLines/>
        <w:tabs>
          <w:tab w:pos="9734" w:val="right" w:leader="dot"/>
        </w:tabs>
        <w:spacing w:line="240" w:lineRule="auto" w:before="0" w:after="0"/>
        <w:ind w:left="403" w:firstLine="0"/>
      </w:pPr>
      <w:r>
        <w:rPr>
          <w:rFonts w:ascii="Times New Roman" w:hAnsi="Times New Roman"/>
          <w:b w:val="0"/>
          <w:sz w:val="22"/>
        </w:rPr>
        <w:t>Twelve-Month Programme</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0"/>
        <w:ind w:left="403" w:firstLine="0"/>
      </w:pPr>
      <w:r>
        <w:rPr>
          <w:rFonts w:ascii="Times New Roman" w:hAnsi="Times New Roman"/>
          <w:b w:val="0"/>
          <w:sz w:val="22"/>
        </w:rPr>
        <w:t>Revenue Management and Channel Trade-Offs</w:t>
      </w:r>
      <w:r>
        <w:rPr>
          <w:rFonts w:ascii="Times New Roman" w:hAnsi="Times New Roman"/>
          <w:b w:val="0"/>
          <w:sz w:val="22"/>
        </w:rPr>
        <w:tab/>
      </w:r>
      <w:r>
        <w:rPr>
          <w:rFonts w:ascii="Times New Roman" w:hAnsi="Times New Roman"/>
          <w:b w:val="0"/>
          <w:sz w:val="22"/>
        </w:rPr>
        <w:t>15</w:t>
      </w:r>
    </w:p>
    <w:p>
      <w:pPr>
        <w:keepLines/>
        <w:tabs>
          <w:tab w:pos="9734" w:val="right" w:leader="dot"/>
        </w:tabs>
        <w:spacing w:line="240" w:lineRule="auto" w:before="0" w:after="0"/>
        <w:ind w:left="403" w:firstLine="0"/>
      </w:pPr>
      <w:r>
        <w:rPr>
          <w:rFonts w:ascii="Times New Roman" w:hAnsi="Times New Roman"/>
          <w:b w:val="0"/>
          <w:sz w:val="22"/>
        </w:rPr>
        <w:t>KPI Framework</w:t>
      </w:r>
      <w:r>
        <w:rPr>
          <w:rFonts w:ascii="Times New Roman" w:hAnsi="Times New Roman"/>
          <w:b w:val="0"/>
          <w:sz w:val="22"/>
        </w:rPr>
        <w:tab/>
      </w:r>
      <w:r>
        <w:rPr>
          <w:rFonts w:ascii="Times New Roman" w:hAnsi="Times New Roman"/>
          <w:b w:val="0"/>
          <w:sz w:val="22"/>
        </w:rPr>
        <w:t>17</w:t>
      </w:r>
    </w:p>
    <w:p>
      <w:pPr>
        <w:keepLines/>
        <w:tabs>
          <w:tab w:pos="9734" w:val="right" w:leader="dot"/>
        </w:tabs>
        <w:spacing w:line="240" w:lineRule="auto" w:before="0" w:after="40"/>
        <w:ind w:left="0" w:firstLine="0"/>
      </w:pPr>
      <w:r>
        <w:rPr>
          <w:rFonts w:ascii="Times New Roman" w:hAnsi="Times New Roman"/>
          <w:b/>
          <w:sz w:val="22"/>
        </w:rPr>
        <w:t>Conclusion &amp; Recommendations</w:t>
      </w:r>
      <w:r>
        <w:rPr>
          <w:rFonts w:ascii="Times New Roman" w:hAnsi="Times New Roman"/>
          <w:b/>
          <w:sz w:val="22"/>
        </w:rPr>
        <w:tab/>
      </w:r>
      <w:r>
        <w:rPr>
          <w:rFonts w:ascii="Times New Roman" w:hAnsi="Times New Roman"/>
          <w:b/>
          <w:sz w:val="22"/>
        </w:rPr>
        <w:t>18</w:t>
      </w:r>
    </w:p>
    <w:p>
      <w:pPr>
        <w:keepLines/>
        <w:tabs>
          <w:tab w:pos="9734" w:val="right" w:leader="dot"/>
        </w:tabs>
        <w:spacing w:line="240" w:lineRule="auto" w:before="0" w:after="40"/>
        <w:ind w:left="0" w:firstLine="0"/>
      </w:pPr>
      <w:r>
        <w:rPr>
          <w:rFonts w:ascii="Times New Roman" w:hAnsi="Times New Roman"/>
          <w:b/>
          <w:sz w:val="22"/>
        </w:rPr>
        <w:t>References</w:t>
      </w:r>
      <w:r>
        <w:rPr>
          <w:rFonts w:ascii="Times New Roman" w:hAnsi="Times New Roman"/>
          <w:b/>
          <w:sz w:val="22"/>
        </w:rPr>
        <w:tab/>
      </w:r>
      <w:r>
        <w:rPr>
          <w:rFonts w:ascii="Times New Roman" w:hAnsi="Times New Roman"/>
          <w:b/>
          <w:sz w:val="22"/>
        </w:rPr>
        <w:t>19</w:t>
      </w:r>
    </w:p>
    <w:p>
      <w:pPr>
        <w:keepLines/>
        <w:tabs>
          <w:tab w:pos="9734" w:val="right" w:leader="dot"/>
        </w:tabs>
        <w:spacing w:line="240" w:lineRule="auto" w:before="0" w:after="40"/>
        <w:ind w:left="0" w:firstLine="0"/>
      </w:pPr>
      <w:r>
        <w:rPr>
          <w:rFonts w:ascii="Times New Roman" w:hAnsi="Times New Roman"/>
          <w:b/>
          <w:sz w:val="22"/>
        </w:rPr>
        <w:t>Appendices</w:t>
      </w:r>
      <w:r>
        <w:rPr>
          <w:rFonts w:ascii="Times New Roman" w:hAnsi="Times New Roman"/>
          <w:b/>
          <w:sz w:val="22"/>
        </w:rPr>
        <w:tab/>
      </w:r>
      <w:r>
        <w:rPr>
          <w:rFonts w:ascii="Times New Roman" w:hAnsi="Times New Roman"/>
          <w:b/>
          <w:sz w:val="22"/>
        </w:rPr>
        <w:t>20</w:t>
      </w:r>
    </w:p>
    <w:p>
      <w:pPr>
        <w:keepLines/>
        <w:tabs>
          <w:tab w:pos="9734" w:val="right" w:leader="dot"/>
        </w:tabs>
        <w:spacing w:line="240" w:lineRule="auto" w:before="0" w:after="0"/>
        <w:ind w:left="403" w:firstLine="0"/>
      </w:pPr>
      <w:r>
        <w:rPr>
          <w:rFonts w:ascii="Times New Roman" w:hAnsi="Times New Roman"/>
          <w:b w:val="0"/>
          <w:sz w:val="22"/>
        </w:rPr>
        <w:t>Appendix A - Example Direct-Booking Value Bundle</w:t>
      </w:r>
      <w:r>
        <w:rPr>
          <w:rFonts w:ascii="Times New Roman" w:hAnsi="Times New Roman"/>
          <w:b w:val="0"/>
          <w:sz w:val="22"/>
        </w:rPr>
        <w:tab/>
      </w:r>
      <w:r>
        <w:rPr>
          <w:rFonts w:ascii="Times New Roman" w:hAnsi="Times New Roman"/>
          <w:b w:val="0"/>
          <w:sz w:val="22"/>
        </w:rPr>
        <w:t>20</w:t>
      </w:r>
    </w:p>
    <w:p>
      <w:pPr>
        <w:keepLines/>
        <w:tabs>
          <w:tab w:pos="9734" w:val="right" w:leader="dot"/>
        </w:tabs>
        <w:spacing w:line="240" w:lineRule="auto" w:before="0" w:after="0"/>
        <w:ind w:left="403" w:firstLine="0"/>
      </w:pPr>
      <w:r>
        <w:rPr>
          <w:rFonts w:ascii="Times New Roman" w:hAnsi="Times New Roman"/>
          <w:b w:val="0"/>
          <w:sz w:val="22"/>
        </w:rPr>
        <w:t>Appendix B - Sustainability Communication Guardrails</w:t>
      </w:r>
      <w:r>
        <w:rPr>
          <w:rFonts w:ascii="Times New Roman" w:hAnsi="Times New Roman"/>
          <w:b w:val="0"/>
          <w:sz w:val="22"/>
        </w:rPr>
        <w:tab/>
      </w:r>
      <w:r>
        <w:rPr>
          <w:rFonts w:ascii="Times New Roman" w:hAnsi="Times New Roman"/>
          <w:b w:val="0"/>
          <w:sz w:val="22"/>
        </w:rPr>
        <w:t>21</w:t>
      </w:r>
    </w:p>
    <w:p>
      <w:pPr>
        <w:spacing w:before="0" w:after="0" w:line="240" w:lineRule="auto"/>
      </w:pPr>
      <w:r>
        <w:br w:type="page"/>
      </w:r>
    </w:p>
    <w:p>
      <w:pPr>
        <w:pStyle w:val="Heading1"/>
        <w:ind w:firstLine="0"/>
      </w:pPr>
      <w:r>
        <w:t>Executive Summary</w:t>
      </w:r>
    </w:p>
    <w:p>
      <w:pPr/>
      <w:r>
        <w:rPr>
          <w:rFonts w:ascii="Times New Roman" w:hAnsi="Times New Roman"/>
          <w:sz w:val="24"/>
        </w:rPr>
        <w:t>Six Senses Laamu demonstrates how sustainability can be embedded in a luxury resort experience rather than presented as a peripheral corporate programme. The resort operates in an environmentally sensitive Maldivian setting and uses marine conservation, Earth Lab experiences, local sourcing and community engagement as visible parts of the guest journey. Six Senses reports that its hotels are GSTC-certified through third-party audits, and at Laamu the brand highlights protected seagrass, marine science, local seafood sourcing, coral work and community participation (Six Senses, 2026a; Six Senses Laamu, 2026). This report evaluates how the extended marketing mix can convert those operational practices into customer value, satisfaction, loyalty and responsible revenue growth.</w:t>
      </w:r>
    </w:p>
    <w:p>
      <w:pPr/>
      <w:r>
        <w:rPr>
          <w:rFonts w:ascii="Times New Roman" w:hAnsi="Times New Roman"/>
          <w:sz w:val="24"/>
        </w:rPr>
        <w:t>The recommended strategy is built around the promise “Luxury that restores what makes the journey extraordinary.” The 7Ps are designed as one system: the product combines villas, wellbeing and marine learning; price protects premium positioning while making sustainability value visible; place balances direct booking with selective OTA reach; promotion emphasises credible proof rather than generic green claims; people are trained as interpreters of place; process makes responsible choices easy; and physical evidence turns sustainability into something guests can see, touch and participate in. Academic evidence indicates that green practices can strengthen satisfaction and loyalty when service quality remains high and sustainability motives are perceived as credible (Assaker, 2020; Gao &amp; Mattila, 2014; Merli et al., 2019).</w:t>
      </w:r>
    </w:p>
    <w:p>
      <w:pPr/>
      <w:r>
        <w:rPr>
          <w:rFonts w:ascii="Times New Roman" w:hAnsi="Times New Roman"/>
          <w:sz w:val="24"/>
        </w:rPr>
        <w:t>A first-year illustrative marketing and experience-development budget of USD 2.75 million is proposed, with KPIs for direct-booking share, average daily rate, repeat intention, conservation participation, guest sentiment, OTA acquisition efficiency and measurable environmental engagement. The key recommendation is to avoid treating sustainability as a promotional theme disconnected from luxury. Six Senses Laamu should market sustainability as part of service design: an elevated experience in which marine science, wellbeing, food, design and local relationships deepen the meaning of the stay.</w:t>
      </w:r>
    </w:p>
    <w:p>
      <w:pPr>
        <w:pStyle w:val="Heading1"/>
        <w:ind w:firstLine="0"/>
      </w:pPr>
      <w:r>
        <w:t>Introduction</w:t>
      </w:r>
    </w:p>
    <w:p>
      <w:pPr/>
      <w:r>
        <w:rPr>
          <w:rFonts w:ascii="Times New Roman" w:hAnsi="Times New Roman"/>
          <w:sz w:val="24"/>
        </w:rPr>
        <w:t>Hospitality services are intangible, variable and produced through interactions among guests, employees, physical settings and operating processes. The extended marketing mix responds to those characteristics by adding People, Process and Physical Evidence to the traditional Product, Price, Place and Promotion. Booms and Bitner (1981) argued that these additional elements are essential in service businesses because the customer evaluates not only what is purchased but how the service is delivered and what tangible cues support trust.</w:t>
      </w:r>
    </w:p>
    <w:p>
      <w:pPr/>
      <w:r>
        <w:rPr>
          <w:rFonts w:ascii="Times New Roman" w:hAnsi="Times New Roman"/>
          <w:sz w:val="24"/>
        </w:rPr>
        <w:t>Sustainable hospitality adds another layer of complexity. Hotels may invest in energy, water, waste, sourcing and conservation, yet guests do not automatically interpret those practices as valuable. Green initiatives can improve customer satisfaction when they are credible and integrated into strong service performance, but their benefits can disappear when basic service fails (Gao &amp; Mattila, 2014). The managerial challenge is therefore to connect environmental practice with guest experience rather than forcing travellers to choose between comfort and conscience.</w:t>
      </w:r>
    </w:p>
    <w:p>
      <w:pPr/>
      <w:r>
        <w:rPr>
          <w:rFonts w:ascii="Times New Roman" w:hAnsi="Times New Roman"/>
          <w:sz w:val="24"/>
        </w:rPr>
        <w:t>Six Senses Laamu is an appropriate case because the resort combines high-end accommodation with marine conservation and sustainability education. Six Senses states that sustainability is embedded across building, community, environment, plastic reduction, funding and resort operations (Six Senses, 2026a). At Laamu, the Sea Hub of Environmental Learning in Laamu (SHELL), the Maldives Underwater Initiative and Earth Lab create distinctive physical and experiential assets that competitors cannot easily copy (Six Senses Laamu, 2026).</w:t>
      </w:r>
    </w:p>
    <w:p>
      <w:pPr>
        <w:pStyle w:val="Heading2"/>
        <w:ind w:firstLine="0"/>
      </w:pPr>
      <w:r>
        <w:t>Strategic Aim</w:t>
      </w:r>
    </w:p>
    <w:p>
      <w:pPr/>
      <w:r>
        <w:rPr>
          <w:rFonts w:ascii="Times New Roman" w:hAnsi="Times New Roman"/>
          <w:sz w:val="24"/>
        </w:rPr>
        <w:t>The strategic aim is to increase profitable loyalty and direct customer relationships while reinforcing Laamu’s role as a leader in regenerative luxury. The analysis examines experience marketing, service design, channel distribution, pricing trade-offs, the strategic role of People, Process and Physical Evidence, best-practice sustainability and an integrated 7Ps matrix. Consumer behaviour, STP, implementation, budgeting and KPIs are incorporated to connect market insight with execution.</w:t>
      </w:r>
    </w:p>
    <w:p>
      <w:pPr/>
      <w:r>
        <w:rPr>
          <w:rFonts w:ascii="Times New Roman" w:hAnsi="Times New Roman"/>
          <w:sz w:val="24"/>
        </w:rPr>
        <w:t>The analysis assumes that Six Senses Laamu should not compete for mass-market resort volume. Its competitive advantage comes from high-touch service, scarce natural surroundings, wellbeing, environmental credibility and educational access. The marketing mix should therefore increase perceived value and lengthen customer lifetime value rather than rely on discount-led occupancy.</w:t>
      </w:r>
    </w:p>
    <w:p>
      <w:pPr>
        <w:pStyle w:val="Heading1"/>
        <w:ind w:firstLine="0"/>
      </w:pPr>
      <w:r>
        <w:t>Market &amp; Consumer Behaviour Analysis</w:t>
      </w:r>
    </w:p>
    <w:p>
      <w:pPr>
        <w:pStyle w:val="Heading2"/>
        <w:ind w:firstLine="0"/>
      </w:pPr>
      <w:r>
        <w:t>Sustainable Luxury Demand</w:t>
      </w:r>
    </w:p>
    <w:p>
      <w:pPr/>
      <w:r>
        <w:rPr>
          <w:rFonts w:ascii="Times New Roman" w:hAnsi="Times New Roman"/>
          <w:sz w:val="24"/>
        </w:rPr>
        <w:t>Luxury travel has shifted from visible consumption alone toward privacy, wellbeing, time, learning and access to meaningful experiences. Sustainable luxury can fit this transition because conservation and local connection provide forms of scarcity and authenticity that conventional amenities cannot. However, consumers remain sensitive to greenwashing. The sustainability proposition must be specific, verifiable and connected to the guest’s lived experience.</w:t>
      </w:r>
    </w:p>
    <w:p>
      <w:pPr/>
      <w:r>
        <w:rPr>
          <w:rFonts w:ascii="Times New Roman" w:hAnsi="Times New Roman"/>
          <w:sz w:val="24"/>
        </w:rPr>
        <w:t>Merli et al. (2019) found that guests can positively recognise hotel environmental commitment and that such perceptions influence satisfaction and loyalty. Assaker (2020) similarly reports that hotel service quality contributes to perceived value, satisfaction and behavioural intentions when green practices are integrated into an upscale service model. These findings imply that Six Senses should not market sustainability as sacrifice. The guest should experience excellent sleep, food, spa, service and privacy while also seeing evidence of reduced waste, ecosystem protection and community investment.</w:t>
      </w:r>
    </w:p>
    <w:p>
      <w:pPr/>
      <w:r>
        <w:rPr>
          <w:rFonts w:ascii="Times New Roman" w:hAnsi="Times New Roman"/>
          <w:sz w:val="24"/>
        </w:rPr>
        <w:t>The customer psychology is especially important in a remote island resort. The purchase carries high financial and time costs, so travellers seek reassurance about quality before booking. They use brand reputation, reviews, photographs, travel advisors, OTAs and social proof to reduce risk. At the same time, the remote setting creates a strong opportunity for transformation: once the guest arrives, the resort can control a large proportion of the service environment and create a coherent sensory and educational journey.</w:t>
      </w:r>
    </w:p>
    <w:p>
      <w:pPr>
        <w:pStyle w:val="Heading2"/>
        <w:ind w:firstLine="0"/>
      </w:pPr>
      <w:r>
        <w:t>Market Trends</w:t>
      </w:r>
    </w:p>
    <w:p>
      <w:pPr/>
      <w:r>
        <w:rPr>
          <w:rFonts w:ascii="Times New Roman" w:hAnsi="Times New Roman"/>
          <w:sz w:val="24"/>
        </w:rPr>
        <w:t>The first relevant trend is experiential wellness. Six Senses already has strong brand equity in wellness, and Laamu can connect spa and health experiences to natural systems: sleep, ocean immersion, local ingredients, mindful movement and digital disconnection. The second trend is participatory sustainability. Guests increasingly respond to opportunities that make environmental action tangible rather than abstract. Earth Lab workshops and guided sustainability tours translate backstage operations into memorable experience design (Six Senses, 2026b).</w:t>
      </w:r>
    </w:p>
    <w:p>
      <w:pPr/>
      <w:r>
        <w:rPr>
          <w:rFonts w:ascii="Times New Roman" w:hAnsi="Times New Roman"/>
          <w:sz w:val="24"/>
        </w:rPr>
        <w:t>The third trend is nature-based learning. At Laamu, marine conservation is a differentiated content platform. The resort reports extensive 2025 marine-science and community activity, including seagrass protection, scientific surveys and coral work (Six Senses Laamu, 2026). Such evidence can support premium value because the guest gains access to expertise and environments that are difficult to replicate elsewhere.</w:t>
      </w:r>
    </w:p>
    <w:p>
      <w:pPr/>
      <w:r>
        <w:rPr>
          <w:rFonts w:ascii="Times New Roman" w:hAnsi="Times New Roman"/>
          <w:sz w:val="24"/>
        </w:rPr>
        <w:t>The fourth trend is digital distribution. Luxury consumers still use travel advisors, but they also research across Google, Instagram, review sites, OTAs and metasearch. OTAs can be powerful acquisition channels, yet commission costs and control over the customer relationship create strategic trade-offs. Ye, Yan and Wu (2019) show that the optimal mix between direct and OTA distribution depends on factors including market expansion, channel acceptance and commission structure. Six Senses should therefore manage OTAs as targeted reach channels, not as the default source of loyal repeat business.</w:t>
      </w:r>
    </w:p>
    <w:p>
      <w:pPr>
        <w:pStyle w:val="Heading2"/>
        <w:ind w:firstLine="0"/>
      </w:pPr>
      <w:r>
        <w:t>Consumer Decision Journey</w:t>
      </w:r>
    </w:p>
    <w:p>
      <w:pPr/>
      <w:r>
        <w:rPr>
          <w:rFonts w:ascii="Times New Roman" w:hAnsi="Times New Roman"/>
          <w:sz w:val="24"/>
        </w:rPr>
        <w:t>At awareness, the resort must communicate a distinctive reason to care. Generic Maldivian imagery is insufficient because overwater villas and turquoise water are widely available across the competitive set. Marine conservation, SHELL, Earth Lab and the combination of sustainability with wellness can create a stronger memory structure. At consideration, travellers need proof: room quality, dining variety, transfer details, sustainability credentials, weather expectations and expert reviews.</w:t>
      </w:r>
    </w:p>
    <w:p>
      <w:pPr/>
      <w:r>
        <w:rPr>
          <w:rFonts w:ascii="Times New Roman" w:hAnsi="Times New Roman"/>
          <w:sz w:val="24"/>
        </w:rPr>
        <w:t>At booking, channel design matters. Direct booking should offer non-price value such as flexible experience planning, conservation-session priority, wellness consultation or transfer support. The goal is not to undercut OTAs indiscriminately but to make the direct proposition uniquely useful. Lee and Sharma (2025) find that non-price offer uniqueness, cancellation flexibility and channel credibility influence booking choice, supporting this approach.</w:t>
      </w:r>
    </w:p>
    <w:p>
      <w:pPr/>
      <w:r>
        <w:rPr>
          <w:rFonts w:ascii="Times New Roman" w:hAnsi="Times New Roman"/>
          <w:sz w:val="24"/>
        </w:rPr>
        <w:t>During the stay, the guest should encounter sustainability without friction. Water refilling, waste reduction, local food, conservation and resource information should be designed into the service rather than delivered as rules. Post-stay, guests should receive personalised evidence of what their stay helped support, such as conservation updates or impact stories. This creates advocacy and may transform a one-time holiday into an ongoing brand relationship.</w:t>
      </w:r>
    </w:p>
    <w:p>
      <w:pPr>
        <w:spacing w:line="240" w:lineRule="auto" w:before="120" w:after="80"/>
        <w:ind w:firstLine="0"/>
        <w:jc w:val="center"/>
      </w:pPr>
      <w:r>
        <w:rPr>
          <w:rFonts w:ascii="Times New Roman" w:hAnsi="Times New Roman"/>
          <w:b/>
          <w:sz w:val="22"/>
        </w:rPr>
        <w:t>Key consumer needs and marketing implications</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Consumer need</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Underlying psychology</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Six Senses Laamu response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Marketing evidence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Trust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 financial and travel risk</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Third-party certification, transparent impact data</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Verified sustainability and review proof</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Transformation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Desire for memorable meaning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Marine science, wellness, Earth Lab participation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Story-rich itinerary content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Comfort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Expectation of luxury basics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High-touch service, privacy, food, sleep and spa</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Service-quality reviews and detailed room content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Agency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Preference for responsible choice without inconvenience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Default low-waste processes and easy participation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“Effortless responsible luxury” messages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Belonging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Desire for connection to people and place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Local sourcing, community encounters, expert hosts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Host and community storytelling</w:t>
            </w:r>
          </w:p>
        </w:tc>
      </w:tr>
    </w:tbl>
    <w:p>
      <w:pPr>
        <w:spacing w:after="0"/>
      </w:pPr>
    </w:p>
    <w:p>
      <w:pPr>
        <w:pStyle w:val="Heading1"/>
        <w:ind w:firstLine="0"/>
      </w:pPr>
      <w:r>
        <w:t>Segmentation, Targeting, and Positioning (STP)</w:t>
      </w:r>
    </w:p>
    <w:p>
      <w:pPr>
        <w:pStyle w:val="Heading2"/>
        <w:ind w:firstLine="0"/>
      </w:pPr>
      <w:r>
        <w:t>Segmentation Logic</w:t>
      </w:r>
    </w:p>
    <w:p>
      <w:pPr/>
      <w:r>
        <w:rPr>
          <w:rFonts w:ascii="Times New Roman" w:hAnsi="Times New Roman"/>
          <w:sz w:val="24"/>
        </w:rPr>
        <w:t>Traditional demographic segmentation can identify high-income households, honeymooners, families and mature luxury travellers, but income alone does not explain why a consumer chooses one Maldivian resort over another. Psychographic variables such as environmental identity, wellness orientation, curiosity and desire for privacy are more discriminating. Behavioural variables add purchase frequency, booking channel, activity participation, repeat status and response to sustainability content.</w:t>
      </w:r>
    </w:p>
    <w:p>
      <w:pPr/>
      <w:r>
        <w:rPr>
          <w:rFonts w:ascii="Times New Roman" w:hAnsi="Times New Roman"/>
          <w:sz w:val="24"/>
        </w:rPr>
        <w:t>The recommended strategy uses three segments. The first is the regenerative luxury seeker: affluent, environmentally aware, experienced and motivated by high service quality combined with credible positive impact. The second is the wellness transformation guest: focused on restoration, sleep, nutrition, spa, mindfulness and nature connection. The third is the curious family: parents who want children to experience marine life, science and sustainability without sacrificing comfort.</w:t>
      </w:r>
    </w:p>
    <w:p>
      <w:pPr>
        <w:pStyle w:val="Heading2"/>
        <w:ind w:firstLine="0"/>
      </w:pPr>
      <w:r>
        <w:t>Target Segment 1: Regenerative Luxury Seekers</w:t>
      </w:r>
    </w:p>
    <w:p>
      <w:pPr/>
      <w:r>
        <w:rPr>
          <w:rFonts w:ascii="Times New Roman" w:hAnsi="Times New Roman"/>
          <w:sz w:val="24"/>
        </w:rPr>
        <w:t>This segment has the highest fit with the resort’s differentiation. It values exclusivity but prefers understated rather than purely status-driven luxury. It will pay for experiences that feel scarce, authentic and well interpreted. The brand should use specific proof—marine researchers, protected seagrass, local sourcing and conservation programmes—because vague eco-language has low credibility.</w:t>
      </w:r>
    </w:p>
    <w:p>
      <w:pPr/>
      <w:r>
        <w:rPr>
          <w:rFonts w:ascii="Times New Roman" w:hAnsi="Times New Roman"/>
          <w:sz w:val="24"/>
        </w:rPr>
        <w:t>Yadav, Balaji and Jebarajakirthy (2019) show that psychological and contextual factors shape travellers’ propensity to choose green hotels. The implication is that sustainability messages should be linked to personal value: a guest is not simply “saving the planet” but gaining a more meaningful stay, better connection to the destination and confidence that luxury consumption is being managed responsibly.</w:t>
      </w:r>
    </w:p>
    <w:p>
      <w:pPr>
        <w:pStyle w:val="Heading2"/>
        <w:ind w:firstLine="0"/>
      </w:pPr>
      <w:r>
        <w:t>Target Segment 2: Wellness Transformation Guests</w:t>
      </w:r>
    </w:p>
    <w:p>
      <w:pPr/>
      <w:r>
        <w:rPr>
          <w:rFonts w:ascii="Times New Roman" w:hAnsi="Times New Roman"/>
          <w:sz w:val="24"/>
        </w:rPr>
        <w:t>This segment may not initially identify as an “eco-traveller,” yet sustainability is relevant because wellbeing and environmental quality are mutually reinforcing. Food sourcing, clean design, nature immersion, sleep quality and low-toxin operations can be framed through personal restoration. Earth Lab and conservation can be optional enrichment rather than the leading purchase trigger.</w:t>
      </w:r>
    </w:p>
    <w:p>
      <w:pPr>
        <w:pStyle w:val="Heading2"/>
        <w:ind w:firstLine="0"/>
      </w:pPr>
      <w:r>
        <w:t>Target Segment 3: Curious Families</w:t>
      </w:r>
    </w:p>
    <w:p>
      <w:pPr/>
      <w:r>
        <w:rPr>
          <w:rFonts w:ascii="Times New Roman" w:hAnsi="Times New Roman"/>
          <w:sz w:val="24"/>
        </w:rPr>
        <w:t>Families are strategically valuable because multi-generational travel can produce longer stays and repeat behaviour. Six Senses can differentiate through junior marine biology, practical Earth Lab activities, nature interpretation and family-friendly wellness. The product must make learning enjoyable rather than instructional. Parents should understand that children will be engaged, safe and meaningfully occupied.</w:t>
      </w:r>
    </w:p>
    <w:p>
      <w:pPr>
        <w:spacing w:line="240" w:lineRule="auto" w:before="120" w:after="80"/>
        <w:ind w:firstLine="0"/>
        <w:jc w:val="center"/>
      </w:pPr>
      <w:r>
        <w:rPr>
          <w:rFonts w:ascii="Times New Roman" w:hAnsi="Times New Roman"/>
          <w:b/>
          <w:sz w:val="22"/>
        </w:rPr>
        <w:t>Priority personas</w:t>
      </w:r>
    </w:p>
    <w:tbl>
      <w:tblPr>
        <w:tblStyle w:val="TableGrid"/>
        <w:tblW w:type="auto" w:w="0"/>
        <w:jc w:val="center"/>
        <w:tblLayout w:type="autofit"/>
        <w:tblLook w:firstColumn="1" w:firstRow="1" w:lastColumn="0" w:lastRow="0" w:noHBand="0" w:noVBand="1" w:val="04A0"/>
      </w:tblPr>
      <w:tblGrid>
        <w:gridCol w:w="1958"/>
        <w:gridCol w:w="1958"/>
        <w:gridCol w:w="1958"/>
        <w:gridCol w:w="1958"/>
        <w:gridCol w:w="1958"/>
      </w:tblGrid>
      <w:tr>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Persona</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Main motivation</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Decision criteria</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High-value experiences</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Primary message</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Regenerative luxury seeker</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Premium travel with credible positive impact</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Privacy, service, conservation proof, design</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SHELL, private marine experiences, local cuisine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“Luxury that leaves the island stronger”</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Wellness transformation guest</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Recovery and personal renewal</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Sleep, spa, food, calm, nature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Wellness screening, spa journeys, ocean immersion</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“Restore yourself in a living ecosystem”</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Curious family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Shared learning and memorable family time</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Safety, comfort, activities, education</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Junior marine biology, Earth Lab, snorkelling</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“A family holiday that keeps inspiring after you leave”</w:t>
            </w:r>
          </w:p>
        </w:tc>
      </w:tr>
    </w:tbl>
    <w:p>
      <w:pPr>
        <w:spacing w:after="0"/>
      </w:pPr>
    </w:p>
    <w:p>
      <w:pPr>
        <w:pStyle w:val="Heading2"/>
        <w:ind w:firstLine="0"/>
      </w:pPr>
      <w:r>
        <w:t>Positioning</w:t>
      </w:r>
    </w:p>
    <w:p>
      <w:pPr/>
      <w:r>
        <w:rPr>
          <w:rFonts w:ascii="Times New Roman" w:hAnsi="Times New Roman"/>
          <w:sz w:val="24"/>
        </w:rPr>
        <w:t>The proposed positioning statement is: for discerning travellers who want exceptional island luxury with greater meaning, Six Senses Laamu combines private Maldivian beauty, science-led conservation, immersive wellbeing and local connection so that the stay restores both guest and place. The supporting line is “Luxury that restores what makes the journey extraordinary.”</w:t>
      </w:r>
    </w:p>
    <w:p>
      <w:pPr/>
      <w:r>
        <w:rPr>
          <w:rFonts w:ascii="Times New Roman" w:hAnsi="Times New Roman"/>
          <w:sz w:val="24"/>
        </w:rPr>
        <w:t>The position is deliberately different from resorts that compete primarily on villa size, celebrity chefs or visual extravagance. Those features can still matter, but Laamu’s defendable advantage is the integration of nature, science, service and wellbeing. Brakus, Schmitt and Zarantonello (2009) argue that brand experience includes sensory, affective, intellectual and behavioural dimensions. Laamu can activate all four: sensory beauty, emotional awe, intellectual learning and participatory action.</w:t>
      </w:r>
    </w:p>
    <w:p>
      <w:pPr>
        <w:pStyle w:val="Heading1"/>
        <w:ind w:firstLine="0"/>
      </w:pPr>
      <w:r>
        <w:t>Extended Tourism Marketing Mix (7 Ps)</w:t>
      </w:r>
    </w:p>
    <w:p>
      <w:pPr>
        <w:pStyle w:val="Heading2"/>
        <w:ind w:firstLine="0"/>
      </w:pPr>
      <w:r>
        <w:t>Product</w:t>
      </w:r>
    </w:p>
    <w:p>
      <w:pPr/>
      <w:r>
        <w:rPr>
          <w:rFonts w:ascii="Times New Roman" w:hAnsi="Times New Roman"/>
          <w:sz w:val="24"/>
        </w:rPr>
        <w:t>The core product is not the villa; it is the entire regenerative island experience. Accommodation, food, spa, marine conservation, local culture and service should therefore be packaged as connected experience pathways. A “Blue Wellbeing Journey,” for example, could combine sleep consultation, reef-safe ocean activities, local seafood, breathwork and marine-science interpretation. A “Family Ocean Lab” pathway could integrate Junior Marine Biology, Earth Lab and guided snorkelling.</w:t>
      </w:r>
    </w:p>
    <w:p>
      <w:pPr/>
      <w:r>
        <w:rPr>
          <w:rFonts w:ascii="Times New Roman" w:hAnsi="Times New Roman"/>
          <w:sz w:val="24"/>
        </w:rPr>
        <w:t>Advanced green practices matter because guests notice specific operational elements. Yu, Li and Jai (2017) found that green experiences including energy, water, purchasing, guest education and innovation can influence hotel satisfaction. The resort should therefore make operational practices visible where they add interest but avoid overloading the guest with technical detail. Sustainability becomes part of the experience design when the guest can see the garden, refill systems, waste transformation or marine work in context.</w:t>
      </w:r>
    </w:p>
    <w:p>
      <w:pPr>
        <w:pStyle w:val="Heading2"/>
        <w:ind w:firstLine="0"/>
      </w:pPr>
      <w:r>
        <w:t>Price</w:t>
      </w:r>
    </w:p>
    <w:p>
      <w:pPr/>
      <w:r>
        <w:rPr>
          <w:rFonts w:ascii="Times New Roman" w:hAnsi="Times New Roman"/>
          <w:sz w:val="24"/>
        </w:rPr>
        <w:t>Pricing should remain premium and value-based. The resort should avoid broad discounting because the brand promise relies on scarcity, expertise and service intensity. Instead, offers should add experience value: included marine-science sessions, wellness consultations, family learning activities or resort credits that drive participation in strategic experiences.</w:t>
      </w:r>
    </w:p>
    <w:p>
      <w:pPr/>
      <w:r>
        <w:rPr>
          <w:rFonts w:ascii="Times New Roman" w:hAnsi="Times New Roman"/>
          <w:sz w:val="24"/>
        </w:rPr>
        <w:t>Price transparency is also part of sustainable luxury. Guests should understand transfers, taxes, meal plans and optional experience costs before arrival. Hidden complexity creates dissatisfaction at a premium price point. Repeat guests can receive recognition and personalised inclusions rather than rate erosion.</w:t>
      </w:r>
    </w:p>
    <w:p>
      <w:pPr>
        <w:pStyle w:val="Heading2"/>
        <w:ind w:firstLine="0"/>
      </w:pPr>
      <w:r>
        <w:t>Place</w:t>
      </w:r>
    </w:p>
    <w:p>
      <w:pPr/>
      <w:r>
        <w:rPr>
          <w:rFonts w:ascii="Times New Roman" w:hAnsi="Times New Roman"/>
          <w:sz w:val="24"/>
        </w:rPr>
        <w:t>Distribution should use a portfolio approach. Direct channels should dominate repeat and high-engagement customers because they enable personalisation, lower commission and stronger CRM data. Luxury advisors remain important for high-spend guests needing itinerary reassurance. OTAs can provide international reach and comparison visibility, especially for new-to-brand consumers, but should be managed with inventory, package and attribution discipline.</w:t>
      </w:r>
    </w:p>
    <w:p>
      <w:pPr/>
      <w:r>
        <w:rPr>
          <w:rFonts w:ascii="Times New Roman" w:hAnsi="Times New Roman"/>
          <w:sz w:val="24"/>
        </w:rPr>
        <w:t>The objective is not to eliminate OTAs. Ye et al. (2019) show that channel value depends on the additional market an OTA brings relative to its cost. Six Senses should therefore track customer acquisition cost by channel, first-time versus repeat mix and the proportion of OTA guests who later enter the direct CRM relationship.</w:t>
      </w:r>
    </w:p>
    <w:p>
      <w:pPr>
        <w:pStyle w:val="Heading2"/>
        <w:ind w:firstLine="0"/>
      </w:pPr>
      <w:r>
        <w:t>Promotion</w:t>
      </w:r>
    </w:p>
    <w:p>
      <w:pPr/>
      <w:r>
        <w:rPr>
          <w:rFonts w:ascii="Times New Roman" w:hAnsi="Times New Roman"/>
          <w:sz w:val="24"/>
        </w:rPr>
        <w:t>Promotion should use “proof-led aspiration.” Hero creative can show the emotional beauty of Laamu, but deeper content should explain why the ecosystem is different and how the resort participates in its protection. Scientific credibility, host expertise, guest participation and local sourcing provide evidence. Six Senses reports that each property has an Earth Lab and that its regenerative impact mechanisms support local social or environmental projects (Six Senses, 2026a; Six Senses, 2026b).</w:t>
      </w:r>
    </w:p>
    <w:p>
      <w:pPr/>
      <w:r>
        <w:rPr>
          <w:rFonts w:ascii="Times New Roman" w:hAnsi="Times New Roman"/>
          <w:sz w:val="24"/>
        </w:rPr>
        <w:t>Influencer partnerships should prioritise fit over reach. Suitable partners include marine photographers, wellness educators, family science creators and responsible luxury storytellers. Every creator brief should include truthful sustainability language, respect for wildlife and a balance between glamour and operational proof.</w:t>
      </w:r>
    </w:p>
    <w:p>
      <w:pPr>
        <w:pStyle w:val="Heading2"/>
        <w:ind w:firstLine="0"/>
      </w:pPr>
      <w:r>
        <w:t>People</w:t>
      </w:r>
    </w:p>
    <w:p>
      <w:pPr/>
      <w:r>
        <w:rPr>
          <w:rFonts w:ascii="Times New Roman" w:hAnsi="Times New Roman"/>
          <w:sz w:val="24"/>
        </w:rPr>
        <w:t>People convert sustainability from policy into hospitality. Marine biologists, spa practitioners, chefs, hosts, boat teams and housekeeping employees should understand the brand promise and be able to explain it in natural language. Staff should never make the guest feel judged for imperfect behaviour; the service model should invite participation positively.</w:t>
      </w:r>
    </w:p>
    <w:p>
      <w:pPr/>
      <w:r>
        <w:rPr>
          <w:rFonts w:ascii="Times New Roman" w:hAnsi="Times New Roman"/>
          <w:sz w:val="24"/>
        </w:rPr>
        <w:t>Training should cover storytelling, service recovery, cultural sensitivity, environmental knowledge and cross-selling without pressure. When a guest asks why a practice exists, every relevant host should be able to connect it to guest comfort, local ecology or community benefit.</w:t>
      </w:r>
    </w:p>
    <w:p>
      <w:pPr>
        <w:pStyle w:val="Heading2"/>
        <w:ind w:firstLine="0"/>
      </w:pPr>
      <w:r>
        <w:t>Process</w:t>
      </w:r>
    </w:p>
    <w:p>
      <w:pPr/>
      <w:r>
        <w:rPr>
          <w:rFonts w:ascii="Times New Roman" w:hAnsi="Times New Roman"/>
          <w:sz w:val="24"/>
        </w:rPr>
        <w:t>Processes should make sustainable behaviour the easiest behaviour. Refillable water, default linen practices, low-waste amenities and digital information can reduce resource use without requiring repeated guest decisions. Booking processes should collect preferences so that family activities, dietary needs, wellness goals and conservation interests can be prepared before arrival.</w:t>
      </w:r>
    </w:p>
    <w:p>
      <w:pPr/>
      <w:r>
        <w:rPr>
          <w:rFonts w:ascii="Times New Roman" w:hAnsi="Times New Roman"/>
          <w:sz w:val="24"/>
        </w:rPr>
        <w:t>Service recovery is also part of sustainable positioning. Gao and Mattila (2014) show that green positioning does not compensate for service failure. Complaint response must therefore remain rapid, generous and personal. Sustainability should never be used to justify discomfort or poor service.</w:t>
      </w:r>
    </w:p>
    <w:p>
      <w:pPr>
        <w:pStyle w:val="Heading2"/>
        <w:ind w:firstLine="0"/>
      </w:pPr>
      <w:r>
        <w:t>Physical Evidence</w:t>
      </w:r>
    </w:p>
    <w:p>
      <w:pPr/>
      <w:r>
        <w:rPr>
          <w:rFonts w:ascii="Times New Roman" w:hAnsi="Times New Roman"/>
          <w:sz w:val="24"/>
        </w:rPr>
        <w:t>Physical evidence includes architecture, natural materials, landscaping, scent, lighting, signage, refill bottles, gardens, Earth Lab displays, SHELL, boats, menus and staff presentation. The environment should make the brand promise tangible. Sustainability metrics can be displayed selectively in Earth Lab and SHELL, where guests are actively interested, rather than filling luxury spaces with corporate reporting.</w:t>
      </w:r>
    </w:p>
    <w:p>
      <w:pPr/>
      <w:r>
        <w:rPr>
          <w:rFonts w:ascii="Times New Roman" w:hAnsi="Times New Roman"/>
          <w:sz w:val="24"/>
        </w:rPr>
        <w:t>The resort’s strongest physical proof is the ecosystem itself. Protected seagrass, visible marine life and science facilities create a servicescape that communicates care. The marketing objective should be to help guests understand that the beauty they experience is not simply a backdrop; it is an asset requiring ongoing stewardship.</w:t>
      </w:r>
    </w:p>
    <w:p>
      <w:pPr>
        <w:spacing w:line="240" w:lineRule="auto" w:before="120" w:after="80"/>
        <w:ind w:firstLine="0"/>
        <w:jc w:val="center"/>
      </w:pPr>
      <w:r>
        <w:rPr>
          <w:rFonts w:ascii="Times New Roman" w:hAnsi="Times New Roman"/>
          <w:b/>
          <w:sz w:val="22"/>
        </w:rPr>
        <w:t>Integrated 7Ps matrix for Six Senses Laamu</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objective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Key initiative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Primary KPI</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Product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Make sustainability experiential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Blue Wellbeing and Family Ocean Lab pathways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Experience attach rate; satisfaction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Price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Protect premium value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Value-added direct packages, no broad discounting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ADR; package margin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Place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Balance reach and customer ownership</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Direct-first CRM with selective OTA inventory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Direct share; channel CAC</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Promotion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Replace green claims with proof</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Science, hosts and impact storytelling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Qualified engagement; trust sentiment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People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Turn expertise into brand value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Storytelling and sustainability training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Host mentions; service scores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Process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Make responsible choices effortless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Pre-arrival preference capture and low-waste defaults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Friction/complaint rate; participation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Physical Evidence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Make stewardship visible and beautiful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SHELL, Earth Lab, garden and refill design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Guest recall of sustainability proof</w:t>
            </w:r>
          </w:p>
        </w:tc>
      </w:tr>
    </w:tbl>
    <w:p>
      <w:pPr>
        <w:spacing w:after="0"/>
      </w:pPr>
    </w:p>
    <w:p>
      <w:pPr>
        <w:pStyle w:val="Heading1"/>
        <w:ind w:firstLine="0"/>
      </w:pPr>
      <w:r>
        <w:t>Implementation, Budgeting &amp; KPIs</w:t>
      </w:r>
    </w:p>
    <w:p>
      <w:pPr>
        <w:pStyle w:val="Heading2"/>
        <w:ind w:firstLine="0"/>
      </w:pPr>
      <w:r>
        <w:t>Twelve-Month Programme</w:t>
      </w:r>
    </w:p>
    <w:p>
      <w:pPr/>
      <w:r>
        <w:rPr>
          <w:rFonts w:ascii="Times New Roman" w:hAnsi="Times New Roman"/>
          <w:sz w:val="24"/>
        </w:rPr>
        <w:t>Quarter 1 should audit the current guest journey against the positioning promise. The team should map every touchpoint from discovery to post-stay communication and identify where sustainability is invisible, repetitive or creates friction. Direct-booking value propositions should be redesigned at the same time, using unique experiences rather than price-only incentives.</w:t>
      </w:r>
    </w:p>
    <w:p>
      <w:pPr/>
      <w:r>
        <w:rPr>
          <w:rFonts w:ascii="Times New Roman" w:hAnsi="Times New Roman"/>
          <w:sz w:val="24"/>
        </w:rPr>
        <w:t>Quarter 2 should launch the experience pathways and a new content library. Staff training should precede promotion so that advertised stories can be delivered consistently. The resort should also create post-stay impact summaries that are personalised according to activities completed, making advocacy more concrete.</w:t>
      </w:r>
    </w:p>
    <w:p>
      <w:pPr/>
      <w:r>
        <w:rPr>
          <w:rFonts w:ascii="Times New Roman" w:hAnsi="Times New Roman"/>
          <w:sz w:val="24"/>
        </w:rPr>
        <w:t>Quarter 3 should scale partnership marketing with luxury advisors, selected OTAs and specialist creators. A test-and-learn programme should compare creative focused on marine science, wellness and family learning. Media should optimise toward qualified booking behaviour rather than reach alone.</w:t>
      </w:r>
    </w:p>
    <w:p>
      <w:pPr/>
      <w:r>
        <w:rPr>
          <w:rFonts w:ascii="Times New Roman" w:hAnsi="Times New Roman"/>
          <w:sz w:val="24"/>
        </w:rPr>
        <w:t>Quarter 4 should evaluate commercial and sustainability outcomes together. High-performing experiences can be expanded, while low-participation activities should be redesigned rather than simply promoted more. The annual review should identify whether increased sustainability engagement correlates with satisfaction, repeat intent and direct-booking propensity.</w:t>
      </w:r>
    </w:p>
    <w:p>
      <w:pPr>
        <w:spacing w:line="240" w:lineRule="auto" w:before="120" w:after="80"/>
        <w:ind w:firstLine="0"/>
        <w:jc w:val="center"/>
      </w:pPr>
      <w:r>
        <w:rPr>
          <w:rFonts w:ascii="Times New Roman" w:hAnsi="Times New Roman"/>
          <w:b/>
          <w:sz w:val="22"/>
        </w:rPr>
        <w:t>Illustrative Year 1 budget</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Investment area</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USD</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Share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Purpose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Experience design and interpretation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420,000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15.3%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New pathways, materials and specialist programming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Content and creative production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480,000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17.5%</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Film, photography, science and host storytelling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Paid digital acquisition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650,000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23.6%</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High-intent search, social and retargeting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Luxury trade and advisor partnerships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12.7%</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Advisor education and cooperative campaigns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Direct-booking CRM and personalisation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10.9%</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Lifecycle, pre-arrival and repeat-guest systems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Creator/PR programme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220,000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8.0%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Specialist earned and creator storytelling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Host training and service design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7.3%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People/process capability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Measurement and experimentation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90,000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Attribution, surveys and testing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Contingency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40,000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1.5%</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Optimisation reserve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Total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2,750,000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First-year programme</w:t>
            </w:r>
          </w:p>
        </w:tc>
      </w:tr>
    </w:tbl>
    <w:p>
      <w:pPr>
        <w:spacing w:after="0"/>
      </w:pPr>
    </w:p>
    <w:p>
      <w:pPr>
        <w:pStyle w:val="Heading2"/>
        <w:ind w:firstLine="0"/>
      </w:pPr>
      <w:r>
        <w:t>Revenue Management and Channel Trade-Offs</w:t>
      </w:r>
    </w:p>
    <w:p>
      <w:pPr/>
      <w:r>
        <w:rPr>
          <w:rFonts w:ascii="Times New Roman" w:hAnsi="Times New Roman"/>
          <w:sz w:val="24"/>
        </w:rPr>
        <w:t>Distribution decisions should be reviewed together with revenue management because a channel that appears expensive on commission can still create incremental demand in a market where the brand has low awareness. The correct comparison is therefore not “direct is good, OTA is bad,” but the net value of each channel after acquisition cost, cancellation behaviour, customer ownership and repeat potential. A first-time OTA guest who later becomes a direct repeat customer may be economically attractive, while an OTA booking that simply replaces a customer who would have booked direct destroys value. The resort should track these pathways by source market and guest type.</w:t>
      </w:r>
    </w:p>
    <w:p>
      <w:pPr/>
      <w:r>
        <w:rPr>
          <w:rFonts w:ascii="Times New Roman" w:hAnsi="Times New Roman"/>
          <w:sz w:val="24"/>
        </w:rPr>
        <w:t>Direct booking should be strengthened through differentiated service content rather than persistent undercutting. Benefits could include pre-arrival itinerary design, flexible experience credits, airport-transfer support, room-preference priority or access to limited marine programmes. This approach protects rate integrity and gives the direct channel a reason to exist beyond price. OTAs should retain selected inventory for high-discovery periods, new markets and dates where additional reach is genuinely needed. Luxury advisors should be evaluated separately because their commissions can be offset by longer stays, larger villas and higher ancillary spend.</w:t>
      </w:r>
    </w:p>
    <w:p>
      <w:pPr/>
      <w:r>
        <w:rPr>
          <w:rFonts w:ascii="Times New Roman" w:hAnsi="Times New Roman"/>
          <w:sz w:val="24"/>
        </w:rPr>
        <w:t>The resort should also use channel-specific cancellation and lead-time data to shape inventory. Short-lead OTA demand may be useful close to arrival, while direct and advisor channels can be prioritised for high-demand periods where personalised planning increases total stay value. Monthly channel reviews should compare gross room revenue, net revenue after distribution cost, experience attachment, cancellation, repeat enrolment and guest satisfaction. This moves channel management from a narrow commission debate to a customer-lifetime-value perspective.</w:t>
      </w:r>
    </w:p>
    <w:p>
      <w:pPr/>
      <w:r>
        <w:rPr>
          <w:rFonts w:ascii="Times New Roman" w:hAnsi="Times New Roman"/>
          <w:sz w:val="24"/>
        </w:rPr>
        <w:t>A further control is attribution discipline. The resort should use booking-source tags, advisor codes, campaign identifiers and post-booking surveys to identify which touchpoints genuinely influenced the reservation. Because luxury travellers often research across several channels before purchasing, last-click attribution will undervalue inspiration and advisor influence. Multi-touch reporting will provide a more realistic basis for allocating media and partnership spend across markets, seasons and customer segments.</w:t>
      </w:r>
    </w:p>
    <w:p>
      <w:pPr>
        <w:pStyle w:val="Heading2"/>
        <w:ind w:firstLine="0"/>
      </w:pPr>
      <w:r>
        <w:t>KPI Framework</w:t>
      </w:r>
    </w:p>
    <w:p>
      <w:pPr/>
      <w:r>
        <w:rPr>
          <w:rFonts w:ascii="Times New Roman" w:hAnsi="Times New Roman"/>
          <w:sz w:val="24"/>
        </w:rPr>
        <w:t>Commercial KPIs should include average daily rate, revenue per available villa, direct-booking share, channel acquisition cost, experience revenue per guest and repeat booking rate. Marketing KPIs should include qualified site visits, itinerary engagement, direct conversion, assisted conversion and email/CRM progression. Customer KPIs should include satisfaction, review sentiment, likelihood to recommend and perception of sustainability credibility.</w:t>
      </w:r>
    </w:p>
    <w:p>
      <w:pPr/>
      <w:r>
        <w:rPr>
          <w:rFonts w:ascii="Times New Roman" w:hAnsi="Times New Roman"/>
          <w:sz w:val="24"/>
        </w:rPr>
        <w:t>Sustainability KPIs should focus on guest-relevant outcomes and avoid vanity reporting. Suitable measures include participation in Earth Lab or conservation experiences, percentage of guests exposed to impact interpretation, local and sustainable food sourcing, waste reduction per occupied villa night, refill avoidance and conservation-fund contribution. Six Senses reports group-level metrics such as avoided plastic bottles, compost production and regenerative-impact funding, demonstrating the potential for operational evidence to support marketing credibility (Six Senses, 2026c).</w:t>
      </w:r>
    </w:p>
    <w:p>
      <w:pPr/>
      <w:r>
        <w:rPr>
          <w:rFonts w:ascii="Times New Roman" w:hAnsi="Times New Roman"/>
          <w:sz w:val="24"/>
        </w:rPr>
        <w:t>The resort should also track a “green-service interaction” metric: whether guests who participate in sustainability experiences report higher satisfaction, brand trust or repeat intention. This creates a direct feedback loop between environmental programming and commercial performance. Pan (2026) provides recent evidence that green trust can precede satisfaction and loyalty in luxury hospitality, supporting the strategic value of trust measurement.</w:t>
      </w:r>
    </w:p>
    <w:p>
      <w:pPr>
        <w:spacing w:line="240" w:lineRule="auto" w:before="120" w:after="80"/>
        <w:ind w:firstLine="0"/>
        <w:jc w:val="center"/>
      </w:pPr>
      <w:r>
        <w:rPr>
          <w:rFonts w:ascii="Times New Roman" w:hAnsi="Times New Roman"/>
          <w:b/>
          <w:sz w:val="22"/>
        </w:rPr>
        <w:t>Balanced KPI scorecard</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Objective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KPI</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Year 1 direction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Use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Grow direct relationships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Direct share of eligible bookings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+5 percentage points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Reduce dependency and improve CRM</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Protect premium yield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ADR / package value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Positive real growth</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Confirm value-based pricing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Deepen experience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Signature pathway attach rate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25%+ of eligible stays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Evaluate product design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Build trust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Sustainability credibility score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Improve from baseline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Detect greenwashing risk</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loyalty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Repeat intent among engaged guests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Higher than non-engaged guests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Link impact to CLV</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Improve channel economics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CAC by direct/advisor/OTA</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Declining blended CAC</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Allocate inventory intelligently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Support stewardship</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Guest participation in conservation/learning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+15%</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Scale meaningful engagement</w:t>
            </w:r>
          </w:p>
        </w:tc>
      </w:tr>
    </w:tbl>
    <w:p>
      <w:pPr>
        <w:spacing w:after="0"/>
      </w:pPr>
    </w:p>
    <w:p>
      <w:pPr>
        <w:pStyle w:val="Heading1"/>
        <w:ind w:firstLine="0"/>
      </w:pPr>
      <w:r>
        <w:t>Conclusion &amp; Recommendations</w:t>
      </w:r>
    </w:p>
    <w:p>
      <w:pPr/>
      <w:r>
        <w:rPr>
          <w:rFonts w:ascii="Times New Roman" w:hAnsi="Times New Roman"/>
          <w:sz w:val="24"/>
        </w:rPr>
        <w:t>Six Senses Laamu can strengthen competitive advantage by treating sustainability as service design rather than corporate messaging. The resort already possesses assets that many competitors cannot easily reproduce: marine-science expertise, SHELL, Earth Lab, protected habitats, local sourcing and a global Six Senses sustainability system. The marketing task is to translate those assets into guest value without reducing luxury to environmental virtue signalling.</w:t>
      </w:r>
    </w:p>
    <w:p>
      <w:pPr/>
      <w:r>
        <w:rPr>
          <w:rFonts w:ascii="Times New Roman" w:hAnsi="Times New Roman"/>
          <w:sz w:val="24"/>
        </w:rPr>
        <w:t>The report makes six recommendations. First, package sustainability, wellbeing and marine learning into clear experience pathways. Second, protect premium pricing and use value-added direct offers rather than broad discounts. Third, manage OTAs as incremental acquisition channels while moving repeat and engaged guests into direct relationships. Fourth, train hosts to interpret sustainability through hospitality, not lectures. Fifth, design default processes that make responsible behaviour effortless. Sixth, measure whether sustainability engagement improves trust, satisfaction, advocacy and repeat intent.</w:t>
      </w:r>
    </w:p>
    <w:p>
      <w:pPr/>
      <w:r>
        <w:rPr>
          <w:rFonts w:ascii="Times New Roman" w:hAnsi="Times New Roman"/>
          <w:sz w:val="24"/>
        </w:rPr>
        <w:t>The strongest version of sustainable luxury is one in which the guest does not perceive a trade-off between quality and responsibility. At Laamu, the ecosystem, service, science and wellbeing proposition can reinforce one another. If the 7Ps are managed as an integrated system, sustainability becomes a reason to choose the resort, a reason to value the price, a source of memorable experience and a foundation for long-term loyalty.</w:t>
      </w:r>
    </w:p>
    <w:p>
      <w:pPr/>
      <w:r>
        <w:rPr>
          <w:rFonts w:ascii="Times New Roman" w:hAnsi="Times New Roman"/>
          <w:sz w:val="24"/>
        </w:rPr>
        <w:t>The same evidence can inform future service design, ensuring that environmental investment remains connected to guest value, operational feasibility and long-term brand credibility.</w:t>
      </w:r>
    </w:p>
    <w:p>
      <w:pPr>
        <w:pStyle w:val="Heading1"/>
        <w:ind w:firstLine="0"/>
      </w:pPr>
      <w:r>
        <w:t>References</w:t>
      </w:r>
    </w:p>
    <w:p>
      <w:pPr>
        <w:pStyle w:val="Reference"/>
        <w:ind w:hanging="720"/>
      </w:pPr>
      <w:r>
        <w:rPr>
          <w:rFonts w:ascii="Times New Roman" w:hAnsi="Times New Roman"/>
          <w:sz w:val="24"/>
        </w:rPr>
        <w:t>Assaker, G. (2020). The effects of hotel green business practices on consumers’ loyalty intentions: An expanded multidimensional service model in the upscale segment. International Journal of Contemporary Hospitality Management, 32(12), 3787-3807. https://doi.org/10.1108/IJCHM-05-2020-0461</w:t>
      </w:r>
    </w:p>
    <w:p>
      <w:pPr>
        <w:pStyle w:val="Reference"/>
        <w:ind w:hanging="720"/>
      </w:pPr>
      <w:r>
        <w:rPr>
          <w:rFonts w:ascii="Times New Roman" w:hAnsi="Times New Roman"/>
          <w:sz w:val="24"/>
        </w:rPr>
        <w:t>Booms, B. H., &amp; Bitner, M. J. (1981). Marketing strategies and organization structures for service firms. In J. H. Donnelly &amp; W. R. George (Eds.), Marketing of services (pp. 47-51). American Marketing Association.</w:t>
      </w:r>
    </w:p>
    <w:p>
      <w:pPr>
        <w:pStyle w:val="Reference"/>
        <w:ind w:hanging="720"/>
      </w:pPr>
      <w:r>
        <w:rPr>
          <w:rFonts w:ascii="Times New Roman" w:hAnsi="Times New Roman"/>
          <w:sz w:val="24"/>
        </w:rPr>
        <w:t>Brakus, J. J., Schmitt, B. H., &amp; Zarantonello, L. (2009). Brand experience: What is it? How is it measured? Does it affect loyalty? Journal of Marketing, 73(3), 52-68. https://doi.org/10.1509/jmkg.73.3.052</w:t>
      </w:r>
    </w:p>
    <w:p>
      <w:pPr>
        <w:pStyle w:val="Reference"/>
        <w:ind w:hanging="720"/>
      </w:pPr>
      <w:r>
        <w:rPr>
          <w:rFonts w:ascii="Times New Roman" w:hAnsi="Times New Roman"/>
          <w:sz w:val="24"/>
        </w:rPr>
        <w:t>Gao, Y., &amp; Mattila, A. S. (2014). Improving consumer satisfaction in green hotels: The roles of perceived warmth, perceived competence, and CSR motive. International Journal of Hospitality Management, 42, 20-31. https://doi.org/10.1016/j.ijhm.2014.06.003</w:t>
      </w:r>
    </w:p>
    <w:p>
      <w:pPr>
        <w:pStyle w:val="Reference"/>
        <w:ind w:hanging="720"/>
      </w:pPr>
      <w:r>
        <w:rPr>
          <w:rFonts w:ascii="Times New Roman" w:hAnsi="Times New Roman"/>
          <w:sz w:val="24"/>
        </w:rPr>
        <w:t>Lee, S. W., &amp; Sharma, A. (2025). Beyond rate parity: Examining offer uniqueness and channel credibility in hotel pricing. Tourism Economics, 31(2). https://doi.org/10.1177/13548166241273881</w:t>
      </w:r>
    </w:p>
    <w:p>
      <w:pPr>
        <w:pStyle w:val="Reference"/>
        <w:ind w:hanging="720"/>
      </w:pPr>
      <w:r>
        <w:rPr>
          <w:rFonts w:ascii="Times New Roman" w:hAnsi="Times New Roman"/>
          <w:sz w:val="24"/>
        </w:rPr>
        <w:t>Merli, R., Preziosi, M., Acampora, A., &amp; Ali, F. (2019). Why should hotels go green? Insights from guests experience in green hotels. International Journal of Hospitality Management, 81, 169-179. https://doi.org/10.1016/j.ijhm.2019.04.022</w:t>
      </w:r>
    </w:p>
    <w:p>
      <w:pPr>
        <w:pStyle w:val="Reference"/>
        <w:ind w:hanging="720"/>
      </w:pPr>
      <w:r>
        <w:rPr>
          <w:rFonts w:ascii="Times New Roman" w:hAnsi="Times New Roman"/>
          <w:sz w:val="24"/>
        </w:rPr>
        <w:t>Pan, Y. (2026). From trust to loyalty: A cross-lagged panel analysis of the evolution of green customer commitment in the luxury hotel sector. International Journal of Hospitality Management, 137, 104679. https://doi.org/10.1016/j.ijhm.2026.104679</w:t>
      </w:r>
    </w:p>
    <w:p>
      <w:pPr>
        <w:pStyle w:val="Reference"/>
        <w:ind w:hanging="720"/>
      </w:pPr>
      <w:r>
        <w:rPr>
          <w:rFonts w:ascii="Times New Roman" w:hAnsi="Times New Roman"/>
          <w:sz w:val="24"/>
        </w:rPr>
        <w:t>Six Senses. (2026a). Sustainability. Six Senses Hotels Resorts Spas.</w:t>
      </w:r>
    </w:p>
    <w:p>
      <w:pPr>
        <w:pStyle w:val="Reference"/>
        <w:ind w:hanging="720"/>
      </w:pPr>
      <w:r>
        <w:rPr>
          <w:rFonts w:ascii="Times New Roman" w:hAnsi="Times New Roman"/>
          <w:sz w:val="24"/>
        </w:rPr>
        <w:t>Six Senses. (2026b). Earth Lab: Sharing skills and ideas to live more sustainably. Six Senses Hotels Resorts Spas.</w:t>
      </w:r>
    </w:p>
    <w:p>
      <w:pPr>
        <w:pStyle w:val="Reference"/>
        <w:ind w:hanging="720"/>
      </w:pPr>
      <w:r>
        <w:rPr>
          <w:rFonts w:ascii="Times New Roman" w:hAnsi="Times New Roman"/>
          <w:sz w:val="24"/>
        </w:rPr>
        <w:t>Six Senses. (2026c). Sustainability impacts. Six Senses Hotels Resorts Spas.</w:t>
      </w:r>
    </w:p>
    <w:p>
      <w:pPr>
        <w:pStyle w:val="Reference"/>
        <w:ind w:hanging="720"/>
      </w:pPr>
      <w:r>
        <w:rPr>
          <w:rFonts w:ascii="Times New Roman" w:hAnsi="Times New Roman"/>
          <w:sz w:val="24"/>
        </w:rPr>
        <w:t>Six Senses Laamu. (2026). Sustainability in Laamu. Six Senses Hotels Resorts Spas.</w:t>
      </w:r>
    </w:p>
    <w:p>
      <w:pPr>
        <w:pStyle w:val="Reference"/>
        <w:ind w:hanging="720"/>
      </w:pPr>
      <w:r>
        <w:rPr>
          <w:rFonts w:ascii="Times New Roman" w:hAnsi="Times New Roman"/>
          <w:sz w:val="24"/>
        </w:rPr>
        <w:t>Yadav, R., Balaji, M. S., &amp; Jebarajakirthy, C. (2019). How psychological and contextual factors contribute to travelers’ propensity to choose green hotels? International Journal of Hospitality Management, 77, 385-395. https://doi.org/10.1016/j.ijhm.2018.08.002</w:t>
      </w:r>
    </w:p>
    <w:p>
      <w:pPr>
        <w:pStyle w:val="Reference"/>
        <w:ind w:hanging="720"/>
      </w:pPr>
      <w:r>
        <w:rPr>
          <w:rFonts w:ascii="Times New Roman" w:hAnsi="Times New Roman"/>
          <w:sz w:val="24"/>
        </w:rPr>
        <w:t>Ye, F., Yan, H., &amp; Wu, Y. (2019). Optimal online channel strategies for a hotel considering direct booking and cooperation with an online travel agent. International Transactions in Operational Research, 26(3), 968-998. https://doi.org/10.1111/itor.12470</w:t>
      </w:r>
    </w:p>
    <w:p>
      <w:pPr>
        <w:pStyle w:val="Reference"/>
        <w:ind w:hanging="720"/>
      </w:pPr>
      <w:r>
        <w:rPr>
          <w:rFonts w:ascii="Times New Roman" w:hAnsi="Times New Roman"/>
          <w:sz w:val="24"/>
        </w:rPr>
        <w:t>Yu, Y., Li, X., &amp; Jai, T.-M. (2017). The impact of green experience on customer satisfaction: Evidence from TripAdvisor. International Journal of Contemporary Hospitality Management, 29(5), 1340-1361. https://doi.org/10.1108/IJCHM-07-2015-0371</w:t>
      </w:r>
    </w:p>
    <w:p>
      <w:pPr>
        <w:pStyle w:val="Heading1"/>
        <w:ind w:firstLine="0"/>
      </w:pPr>
      <w:r>
        <w:t>Appendices</w:t>
      </w:r>
    </w:p>
    <w:p>
      <w:pPr>
        <w:pStyle w:val="Heading2"/>
        <w:ind w:firstLine="0"/>
      </w:pPr>
      <w:r>
        <w:t>Appendix A - Example Direct-Booking Value Bundle</w:t>
      </w:r>
    </w:p>
    <w:p>
      <w:pPr/>
      <w:r>
        <w:rPr>
          <w:rFonts w:ascii="Times New Roman" w:hAnsi="Times New Roman"/>
          <w:sz w:val="24"/>
        </w:rPr>
        <w:t>A direct “Blue Wellbeing” bundle could include private pre-arrival experience planning, one marine-science session, a wellness consultation, flexible dining credit and priority access to selected conservation activities. The bundle should be value-added rather than cheaper than every OTA rate. Its purpose is to reward direct relationship, improve pre-arrival data and increase experience participation.</w:t>
      </w:r>
    </w:p>
    <w:p>
      <w:pPr>
        <w:pStyle w:val="Heading2"/>
        <w:ind w:firstLine="0"/>
      </w:pPr>
      <w:r>
        <w:t>Appendix B - Sustainability Communication Guardrails</w:t>
      </w:r>
    </w:p>
    <w:p>
      <w:pPr/>
      <w:r>
        <w:rPr>
          <w:rFonts w:ascii="Times New Roman" w:hAnsi="Times New Roman"/>
          <w:sz w:val="24"/>
        </w:rPr>
        <w:t>All marketing claims should pass four tests: specificity, verifiability, relevance and guest clarity. Statements such as “eco-friendly” should be replaced with concrete evidence. Scientific figures should be dated and contextualised. Wildlife content should follow ethical interaction guidance. Community stories should be used with consent and should describe reciprocal value rather than framing local people as a decorative feature of the holiday.</w:t>
      </w:r>
    </w:p>
    <w:sectPr w:rsidR="00FC693F" w:rsidRPr="0006063C" w:rsidSect="00034616">
      <w:footerReference w:type="default" r:id="rId9"/>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Times New Roman" w:hAnsi="Times New Roman"/>
      <w:b/>
      <w:bCs/>
      <w:color w:val="444444"/>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Times New Roman" w:hAnsi="Times New Roman"/>
      <w:b/>
      <w:bCs/>
      <w:color w:val="44444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20" w:line="240" w:lineRule="auto" w:before="240"/>
      <w:contextualSpacing/>
    </w:pPr>
    <w:rPr>
      <w:rFonts w:asciiTheme="majorHAnsi" w:eastAsiaTheme="majorEastAsia" w:hAnsiTheme="majorHAnsi" w:cstheme="majorBidi" w:ascii="Times New Roman" w:hAnsi="Times New Roman"/>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line="480" w:lineRule="auto" w:after="0"/>
      <w:ind w:left="720" w:hanging="72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the 7Ps for Regenerative Luxury at Six Senses Laamu</dc:title>
  <dc:subject>Marketing Fundamentals detailed project report</dc:subject>
  <dc:creator>Student</dc:creator>
  <cp:keywords/>
  <dc:description>generated by python-docx</dc:description>
  <cp:lastModifiedBy/>
  <cp:revision>1</cp:revision>
  <dcterms:created xsi:type="dcterms:W3CDTF">2013-12-23T23:15:00Z</dcterms:created>
  <dcterms:modified xsi:type="dcterms:W3CDTF">2013-12-23T23:15:00Z</dcterms:modified>
  <cp:category/>
</cp:coreProperties>
</file>