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F86F7" w14:textId="77777777" w:rsidR="005313C4" w:rsidRPr="003A7319" w:rsidRDefault="005313C4" w:rsidP="005313C4">
      <w:pPr>
        <w:spacing w:line="480" w:lineRule="auto"/>
        <w:jc w:val="center"/>
        <w:rPr>
          <w:rFonts w:ascii="Arial" w:hAnsi="Arial" w:cs="Arial"/>
          <w:color w:val="000000" w:themeColor="text1"/>
          <w:szCs w:val="24"/>
        </w:rPr>
      </w:pPr>
      <w:r w:rsidRPr="003A7319">
        <w:rPr>
          <w:rFonts w:ascii="Arial" w:hAnsi="Arial" w:cs="Arial"/>
          <w:color w:val="000000" w:themeColor="text1"/>
          <w:szCs w:val="24"/>
        </w:rPr>
        <w:drawing>
          <wp:inline distT="0" distB="0" distL="0" distR="0" wp14:anchorId="10006D4A" wp14:editId="7B6D70C4">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1DA9704C" w14:textId="77777777" w:rsidR="005313C4" w:rsidRPr="006B6E2B" w:rsidRDefault="005313C4" w:rsidP="005313C4">
      <w:pPr>
        <w:spacing w:line="480" w:lineRule="auto"/>
        <w:jc w:val="center"/>
        <w:rPr>
          <w:rFonts w:ascii="Arial" w:hAnsi="Arial" w:cs="Arial"/>
          <w:b/>
          <w:bCs/>
          <w:color w:val="000000" w:themeColor="text1"/>
          <w:szCs w:val="24"/>
        </w:rPr>
      </w:pPr>
      <w:proofErr w:type="spellStart"/>
      <w:r w:rsidRPr="006B6E2B">
        <w:rPr>
          <w:rFonts w:ascii="Arial" w:hAnsi="Arial" w:cs="Arial"/>
          <w:b/>
          <w:bCs/>
          <w:color w:val="000000" w:themeColor="text1"/>
          <w:szCs w:val="24"/>
        </w:rPr>
        <w:t>Accouting</w:t>
      </w:r>
      <w:proofErr w:type="spellEnd"/>
      <w:r w:rsidRPr="006B6E2B">
        <w:rPr>
          <w:rFonts w:ascii="Arial" w:hAnsi="Arial" w:cs="Arial"/>
          <w:b/>
          <w:bCs/>
          <w:color w:val="000000" w:themeColor="text1"/>
          <w:szCs w:val="24"/>
        </w:rPr>
        <w:t xml:space="preserve"> Fundamentals February BATTBM</w:t>
      </w:r>
    </w:p>
    <w:p w14:paraId="0845E0CA" w14:textId="77777777" w:rsidR="005313C4" w:rsidRPr="003A7319" w:rsidRDefault="005313C4" w:rsidP="005313C4">
      <w:pPr>
        <w:spacing w:line="480" w:lineRule="auto"/>
        <w:jc w:val="center"/>
        <w:rPr>
          <w:rFonts w:ascii="Arial" w:hAnsi="Arial" w:cs="Arial"/>
          <w:b/>
          <w:bCs/>
          <w:color w:val="000000" w:themeColor="text1"/>
          <w:szCs w:val="24"/>
        </w:rPr>
      </w:pPr>
      <w:r w:rsidRPr="003A7319">
        <w:rPr>
          <w:rFonts w:ascii="Arial" w:hAnsi="Arial" w:cs="Arial"/>
          <w:b/>
          <w:bCs/>
          <w:color w:val="000000" w:themeColor="text1"/>
          <w:szCs w:val="24"/>
        </w:rPr>
        <w:t>Assignment 1: Advanced Theoretical Concepts of Accounting and Their Application in Modern Business Practices</w:t>
      </w:r>
    </w:p>
    <w:p w14:paraId="7BCD5C4D" w14:textId="77777777" w:rsidR="005313C4" w:rsidRPr="003A7319" w:rsidRDefault="005313C4" w:rsidP="005313C4">
      <w:pPr>
        <w:spacing w:line="480" w:lineRule="auto"/>
        <w:jc w:val="center"/>
        <w:rPr>
          <w:rFonts w:ascii="Arial" w:hAnsi="Arial" w:cs="Arial"/>
          <w:b/>
          <w:bCs/>
          <w:color w:val="000000" w:themeColor="text1"/>
          <w:szCs w:val="24"/>
        </w:rPr>
      </w:pPr>
    </w:p>
    <w:p w14:paraId="105AFBA6" w14:textId="77777777" w:rsidR="005313C4" w:rsidRPr="003A7319" w:rsidRDefault="005313C4" w:rsidP="005313C4">
      <w:pPr>
        <w:spacing w:line="480" w:lineRule="auto"/>
        <w:jc w:val="center"/>
        <w:rPr>
          <w:rFonts w:ascii="Arial" w:hAnsi="Arial" w:cs="Arial"/>
          <w:b/>
          <w:bCs/>
          <w:color w:val="000000" w:themeColor="text1"/>
          <w:szCs w:val="24"/>
        </w:rPr>
      </w:pPr>
    </w:p>
    <w:p w14:paraId="0D74C495" w14:textId="77777777" w:rsidR="005313C4" w:rsidRPr="003A7319" w:rsidRDefault="005313C4" w:rsidP="005313C4">
      <w:pPr>
        <w:spacing w:line="480" w:lineRule="auto"/>
        <w:jc w:val="center"/>
        <w:rPr>
          <w:rFonts w:ascii="Arial" w:hAnsi="Arial" w:cs="Arial"/>
          <w:b/>
          <w:bCs/>
          <w:color w:val="000000" w:themeColor="text1"/>
          <w:szCs w:val="24"/>
        </w:rPr>
      </w:pPr>
    </w:p>
    <w:p w14:paraId="53A64139" w14:textId="77777777" w:rsidR="005313C4" w:rsidRPr="003A7319" w:rsidRDefault="005313C4" w:rsidP="005313C4">
      <w:pPr>
        <w:spacing w:line="480" w:lineRule="auto"/>
        <w:jc w:val="center"/>
        <w:rPr>
          <w:rFonts w:ascii="Arial" w:hAnsi="Arial" w:cs="Arial"/>
          <w:b/>
          <w:bCs/>
          <w:color w:val="000000" w:themeColor="text1"/>
          <w:szCs w:val="24"/>
        </w:rPr>
      </w:pPr>
    </w:p>
    <w:p w14:paraId="2C211148" w14:textId="77777777" w:rsidR="005313C4" w:rsidRPr="003A7319" w:rsidRDefault="005313C4" w:rsidP="005313C4">
      <w:pPr>
        <w:spacing w:line="480" w:lineRule="auto"/>
        <w:jc w:val="center"/>
        <w:rPr>
          <w:rFonts w:ascii="Arial" w:hAnsi="Arial" w:cs="Arial"/>
          <w:b/>
          <w:bCs/>
          <w:color w:val="000000" w:themeColor="text1"/>
          <w:szCs w:val="24"/>
        </w:rPr>
      </w:pPr>
    </w:p>
    <w:p w14:paraId="0BA0CE60" w14:textId="77777777" w:rsidR="005313C4" w:rsidRPr="003A7319" w:rsidRDefault="005313C4" w:rsidP="005313C4">
      <w:pPr>
        <w:spacing w:line="480" w:lineRule="auto"/>
        <w:jc w:val="center"/>
        <w:rPr>
          <w:rFonts w:ascii="Arial" w:hAnsi="Arial" w:cs="Arial"/>
          <w:b/>
          <w:bCs/>
          <w:color w:val="000000" w:themeColor="text1"/>
          <w:szCs w:val="24"/>
        </w:rPr>
      </w:pPr>
    </w:p>
    <w:p w14:paraId="3319FCD6" w14:textId="77777777" w:rsidR="005313C4" w:rsidRPr="003A7319" w:rsidRDefault="005313C4" w:rsidP="005313C4">
      <w:pPr>
        <w:spacing w:line="480" w:lineRule="auto"/>
        <w:jc w:val="center"/>
        <w:rPr>
          <w:rFonts w:ascii="Arial" w:hAnsi="Arial" w:cs="Arial"/>
          <w:b/>
          <w:bCs/>
          <w:color w:val="000000" w:themeColor="text1"/>
          <w:szCs w:val="24"/>
        </w:rPr>
      </w:pPr>
    </w:p>
    <w:p w14:paraId="07056DEB" w14:textId="77777777" w:rsidR="005313C4" w:rsidRPr="003A7319" w:rsidRDefault="005313C4" w:rsidP="005313C4">
      <w:pPr>
        <w:spacing w:line="480" w:lineRule="auto"/>
        <w:jc w:val="center"/>
        <w:rPr>
          <w:rFonts w:ascii="Arial" w:hAnsi="Arial" w:cs="Arial"/>
          <w:b/>
          <w:bCs/>
          <w:color w:val="000000" w:themeColor="text1"/>
          <w:szCs w:val="24"/>
        </w:rPr>
      </w:pPr>
    </w:p>
    <w:p w14:paraId="7656917B" w14:textId="77777777" w:rsidR="005313C4" w:rsidRPr="003A7319" w:rsidRDefault="005313C4" w:rsidP="005313C4">
      <w:pPr>
        <w:spacing w:line="480" w:lineRule="auto"/>
        <w:jc w:val="center"/>
        <w:rPr>
          <w:rFonts w:ascii="Arial" w:hAnsi="Arial" w:cs="Arial"/>
          <w:b/>
          <w:bCs/>
          <w:color w:val="000000" w:themeColor="text1"/>
          <w:szCs w:val="24"/>
        </w:rPr>
      </w:pPr>
    </w:p>
    <w:p w14:paraId="721815F7" w14:textId="77777777" w:rsidR="005313C4" w:rsidRPr="003A7319" w:rsidRDefault="005313C4" w:rsidP="005313C4">
      <w:pPr>
        <w:spacing w:line="480" w:lineRule="auto"/>
        <w:jc w:val="center"/>
        <w:rPr>
          <w:rFonts w:ascii="Arial" w:hAnsi="Arial" w:cs="Arial"/>
          <w:b/>
          <w:bCs/>
          <w:color w:val="000000" w:themeColor="text1"/>
          <w:szCs w:val="24"/>
        </w:rPr>
      </w:pPr>
    </w:p>
    <w:p w14:paraId="210F8F5B" w14:textId="77777777" w:rsidR="005313C4" w:rsidRPr="003A7319" w:rsidRDefault="005313C4" w:rsidP="005313C4">
      <w:pPr>
        <w:spacing w:line="480" w:lineRule="auto"/>
        <w:jc w:val="center"/>
        <w:rPr>
          <w:rFonts w:ascii="Arial" w:hAnsi="Arial" w:cs="Arial"/>
          <w:b/>
          <w:bCs/>
          <w:color w:val="000000" w:themeColor="text1"/>
          <w:szCs w:val="24"/>
        </w:rPr>
      </w:pPr>
    </w:p>
    <w:p w14:paraId="6CFB5BD0" w14:textId="77777777" w:rsidR="005313C4" w:rsidRPr="003A7319" w:rsidRDefault="005313C4" w:rsidP="005313C4">
      <w:pPr>
        <w:spacing w:line="480" w:lineRule="auto"/>
        <w:jc w:val="center"/>
        <w:rPr>
          <w:rFonts w:ascii="Arial" w:hAnsi="Arial" w:cs="Arial"/>
          <w:b/>
          <w:bCs/>
          <w:color w:val="000000" w:themeColor="text1"/>
          <w:szCs w:val="24"/>
        </w:rPr>
      </w:pPr>
    </w:p>
    <w:p w14:paraId="01FE3EE4" w14:textId="77777777" w:rsidR="005313C4" w:rsidRPr="003A7319" w:rsidRDefault="005313C4" w:rsidP="005313C4">
      <w:pPr>
        <w:spacing w:line="480" w:lineRule="auto"/>
        <w:jc w:val="center"/>
        <w:rPr>
          <w:rFonts w:ascii="Arial" w:hAnsi="Arial" w:cs="Arial"/>
          <w:b/>
          <w:bCs/>
          <w:color w:val="000000" w:themeColor="text1"/>
          <w:szCs w:val="24"/>
        </w:rPr>
      </w:pPr>
    </w:p>
    <w:p w14:paraId="11BF5BEA" w14:textId="77777777" w:rsidR="005313C4" w:rsidRPr="003A7319" w:rsidRDefault="005313C4" w:rsidP="005313C4">
      <w:pPr>
        <w:pStyle w:val="Heading2"/>
        <w:rPr>
          <w:rFonts w:ascii="Arial" w:hAnsi="Arial" w:cs="Arial"/>
          <w:color w:val="000000" w:themeColor="text1"/>
          <w:sz w:val="24"/>
          <w:szCs w:val="24"/>
        </w:rPr>
      </w:pPr>
      <w:bookmarkStart w:id="0" w:name="_Toc224846299"/>
      <w:r w:rsidRPr="003A7319">
        <w:rPr>
          <w:rFonts w:ascii="Arial" w:hAnsi="Arial" w:cs="Arial"/>
          <w:color w:val="000000" w:themeColor="text1"/>
          <w:sz w:val="24"/>
          <w:szCs w:val="24"/>
        </w:rPr>
        <w:lastRenderedPageBreak/>
        <w:t>Abstract</w:t>
      </w:r>
      <w:bookmarkEnd w:id="0"/>
    </w:p>
    <w:p w14:paraId="19479BC4" w14:textId="77777777" w:rsidR="00722D44" w:rsidRPr="003A7319" w:rsidRDefault="00722D44" w:rsidP="00722D44">
      <w:pPr>
        <w:spacing w:line="480" w:lineRule="auto"/>
        <w:rPr>
          <w:rFonts w:ascii="Arial" w:hAnsi="Arial" w:cs="Arial"/>
          <w:color w:val="000000" w:themeColor="text1"/>
          <w:szCs w:val="24"/>
        </w:rPr>
      </w:pPr>
      <w:r w:rsidRPr="003A7319">
        <w:rPr>
          <w:rFonts w:ascii="Arial" w:hAnsi="Arial" w:cs="Arial"/>
          <w:color w:val="000000" w:themeColor="text1"/>
          <w:szCs w:val="24"/>
        </w:rPr>
        <w:t>This report is a critical analysis of the advanced theoretical concepts of accounting and their applicability in business practice in contemporary practices. It starts by examining the development of key principles, especially the accounting equation, and the ways that its meaning has broadened as financial situations have become more complex. The paper also discusses the comparative frameworks of International Financial Reporting Standards (IFRS) and Generally Accepted Accounting Principles (GAAP) and the implication of the frameworks to quality of financial reporting, comparability and global decisions.</w:t>
      </w:r>
    </w:p>
    <w:p w14:paraId="6B2F6546" w14:textId="77777777" w:rsidR="00722D44" w:rsidRPr="003A7319" w:rsidRDefault="00722D44" w:rsidP="00722D44">
      <w:pPr>
        <w:spacing w:line="480" w:lineRule="auto"/>
        <w:rPr>
          <w:rFonts w:ascii="Arial" w:hAnsi="Arial" w:cs="Arial"/>
          <w:color w:val="000000" w:themeColor="text1"/>
          <w:szCs w:val="24"/>
        </w:rPr>
      </w:pPr>
      <w:r w:rsidRPr="003A7319">
        <w:rPr>
          <w:rFonts w:ascii="Arial" w:hAnsi="Arial" w:cs="Arial"/>
          <w:color w:val="000000" w:themeColor="text1"/>
          <w:szCs w:val="24"/>
        </w:rPr>
        <w:t>The significance of corporate governance is also explored and its relevance in ensuring ethical accounting practices, improved transparency and protection of stakeholder interests highlighted. The report also evaluates the interdependence between the three critical financial statements balance, income and cash flow statements and how they are combined to give a holistic perspective of the financial health of an organization.</w:t>
      </w:r>
    </w:p>
    <w:p w14:paraId="77C3577B" w14:textId="144D1BAE" w:rsidR="005313C4" w:rsidRPr="003A7319" w:rsidRDefault="00722D44" w:rsidP="00722D44">
      <w:pPr>
        <w:spacing w:line="480" w:lineRule="auto"/>
        <w:rPr>
          <w:rFonts w:ascii="Arial" w:hAnsi="Arial" w:cs="Arial"/>
          <w:color w:val="000000" w:themeColor="text1"/>
          <w:szCs w:val="24"/>
        </w:rPr>
      </w:pPr>
      <w:r w:rsidRPr="003A7319">
        <w:rPr>
          <w:rFonts w:ascii="Arial" w:hAnsi="Arial" w:cs="Arial"/>
          <w:color w:val="000000" w:themeColor="text1"/>
          <w:szCs w:val="24"/>
        </w:rPr>
        <w:t>The more sophisticated accounting principles, including fair value measurement, asset impairment, and off-balance-sheet financing, are covered with references to the real-life implementation and show their practical value and possible risks. All in all, the report offers a critical and practical outlook of how modern accounting systems can be used to make informed business decisions and respond to the pressures of globalization, regulatory heterogeneity, and financial complexity.</w:t>
      </w:r>
    </w:p>
    <w:p w14:paraId="3B28DD79" w14:textId="77777777" w:rsidR="00722D44" w:rsidRPr="003A7319" w:rsidRDefault="00722D44" w:rsidP="00722D44">
      <w:pPr>
        <w:spacing w:line="480" w:lineRule="auto"/>
        <w:rPr>
          <w:rFonts w:ascii="Arial" w:hAnsi="Arial" w:cs="Arial"/>
          <w:b/>
          <w:bCs/>
          <w:color w:val="000000" w:themeColor="text1"/>
          <w:szCs w:val="24"/>
        </w:rPr>
      </w:pPr>
    </w:p>
    <w:p w14:paraId="1C0001F2" w14:textId="77777777" w:rsidR="005313C4" w:rsidRPr="003A7319" w:rsidRDefault="005313C4" w:rsidP="005313C4">
      <w:pPr>
        <w:spacing w:line="480" w:lineRule="auto"/>
        <w:rPr>
          <w:rFonts w:ascii="Arial" w:hAnsi="Arial" w:cs="Arial"/>
          <w:b/>
          <w:bCs/>
          <w:color w:val="000000" w:themeColor="text1"/>
          <w:szCs w:val="24"/>
        </w:rPr>
      </w:pPr>
    </w:p>
    <w:p w14:paraId="475768EC" w14:textId="77777777" w:rsidR="005313C4" w:rsidRPr="003A7319" w:rsidRDefault="005313C4" w:rsidP="005313C4">
      <w:pPr>
        <w:spacing w:line="480" w:lineRule="auto"/>
        <w:rPr>
          <w:rFonts w:ascii="Arial" w:hAnsi="Arial" w:cs="Arial"/>
          <w:b/>
          <w:bCs/>
          <w:color w:val="000000" w:themeColor="text1"/>
          <w:szCs w:val="24"/>
        </w:rPr>
      </w:pPr>
    </w:p>
    <w:sdt>
      <w:sdtPr>
        <w:rPr>
          <w:rFonts w:ascii="Arial" w:hAnsi="Arial" w:cs="Arial"/>
          <w:color w:val="000000" w:themeColor="text1"/>
          <w:sz w:val="24"/>
          <w:szCs w:val="24"/>
        </w:rPr>
        <w:id w:val="671619869"/>
        <w:docPartObj>
          <w:docPartGallery w:val="Table of Contents"/>
          <w:docPartUnique/>
        </w:docPartObj>
      </w:sdtPr>
      <w:sdtEndPr>
        <w:rPr>
          <w:rFonts w:eastAsiaTheme="minorHAnsi"/>
          <w:b/>
          <w:bCs/>
          <w:noProof/>
          <w:kern w:val="2"/>
          <w:lang w:val="en-GB" w:bidi="hi-IN"/>
          <w14:ligatures w14:val="standardContextual"/>
        </w:rPr>
      </w:sdtEndPr>
      <w:sdtContent>
        <w:p w14:paraId="7F60EE90" w14:textId="77777777" w:rsidR="005313C4" w:rsidRPr="003A7319" w:rsidRDefault="005313C4" w:rsidP="005313C4">
          <w:pPr>
            <w:pStyle w:val="TOCHeading"/>
            <w:rPr>
              <w:rFonts w:ascii="Arial" w:hAnsi="Arial" w:cs="Arial"/>
              <w:color w:val="000000" w:themeColor="text1"/>
              <w:sz w:val="24"/>
              <w:szCs w:val="24"/>
            </w:rPr>
          </w:pPr>
          <w:r w:rsidRPr="003A7319">
            <w:rPr>
              <w:rFonts w:ascii="Arial" w:hAnsi="Arial" w:cs="Arial"/>
              <w:color w:val="000000" w:themeColor="text1"/>
              <w:sz w:val="24"/>
              <w:szCs w:val="24"/>
            </w:rPr>
            <w:t>Contents</w:t>
          </w:r>
        </w:p>
        <w:p w14:paraId="44ACF96E" w14:textId="77777777" w:rsidR="005313C4" w:rsidRPr="003A7319" w:rsidRDefault="005313C4" w:rsidP="005313C4">
          <w:pPr>
            <w:pStyle w:val="TOC2"/>
            <w:tabs>
              <w:tab w:val="right" w:leader="dot" w:pos="9350"/>
            </w:tabs>
            <w:rPr>
              <w:rFonts w:ascii="Arial" w:hAnsi="Arial" w:cs="Arial"/>
              <w:b/>
              <w:bCs/>
              <w:noProof/>
              <w:color w:val="000000" w:themeColor="text1"/>
              <w:szCs w:val="24"/>
            </w:rPr>
          </w:pPr>
          <w:r w:rsidRPr="003A7319">
            <w:rPr>
              <w:rFonts w:ascii="Arial" w:hAnsi="Arial" w:cs="Arial"/>
              <w:color w:val="000000" w:themeColor="text1"/>
              <w:szCs w:val="24"/>
            </w:rPr>
            <w:fldChar w:fldCharType="begin"/>
          </w:r>
          <w:r w:rsidRPr="003A7319">
            <w:rPr>
              <w:rFonts w:ascii="Arial" w:hAnsi="Arial" w:cs="Arial"/>
              <w:color w:val="000000" w:themeColor="text1"/>
              <w:szCs w:val="24"/>
            </w:rPr>
            <w:instrText xml:space="preserve"> TOC \o "1-3" \h \z \u </w:instrText>
          </w:r>
          <w:r w:rsidRPr="003A7319">
            <w:rPr>
              <w:rFonts w:ascii="Arial" w:hAnsi="Arial" w:cs="Arial"/>
              <w:color w:val="000000" w:themeColor="text1"/>
              <w:szCs w:val="24"/>
            </w:rPr>
            <w:fldChar w:fldCharType="separate"/>
          </w:r>
          <w:hyperlink w:anchor="_Toc224846299" w:history="1">
            <w:r w:rsidRPr="003A7319">
              <w:rPr>
                <w:rStyle w:val="Hyperlink"/>
                <w:rFonts w:ascii="Arial" w:hAnsi="Arial" w:cs="Arial"/>
                <w:b/>
                <w:bCs/>
                <w:noProof/>
                <w:color w:val="000000" w:themeColor="text1"/>
                <w:szCs w:val="24"/>
              </w:rPr>
              <w:t>Abstract</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_Toc224846299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2</w:t>
            </w:r>
            <w:r w:rsidRPr="003A7319">
              <w:rPr>
                <w:rFonts w:ascii="Arial" w:hAnsi="Arial" w:cs="Arial"/>
                <w:b/>
                <w:bCs/>
                <w:noProof/>
                <w:webHidden/>
                <w:color w:val="000000" w:themeColor="text1"/>
                <w:szCs w:val="24"/>
              </w:rPr>
              <w:fldChar w:fldCharType="end"/>
            </w:r>
          </w:hyperlink>
        </w:p>
        <w:p w14:paraId="3AE9D930" w14:textId="77777777" w:rsidR="005313C4" w:rsidRPr="003A7319" w:rsidRDefault="005313C4" w:rsidP="005313C4">
          <w:pPr>
            <w:pStyle w:val="TOC2"/>
            <w:tabs>
              <w:tab w:val="right" w:leader="dot" w:pos="9350"/>
            </w:tabs>
            <w:rPr>
              <w:rFonts w:ascii="Arial" w:hAnsi="Arial" w:cs="Arial"/>
              <w:b/>
              <w:bCs/>
              <w:noProof/>
              <w:color w:val="000000" w:themeColor="text1"/>
              <w:szCs w:val="24"/>
            </w:rPr>
          </w:pPr>
          <w:hyperlink w:anchor="_Toc224846300" w:history="1">
            <w:r w:rsidRPr="003A7319">
              <w:rPr>
                <w:rStyle w:val="Hyperlink"/>
                <w:rFonts w:ascii="Arial" w:hAnsi="Arial" w:cs="Arial"/>
                <w:b/>
                <w:bCs/>
                <w:noProof/>
                <w:color w:val="000000" w:themeColor="text1"/>
                <w:szCs w:val="24"/>
              </w:rPr>
              <w:t>Introduction</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_Toc224846300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4</w:t>
            </w:r>
            <w:r w:rsidRPr="003A7319">
              <w:rPr>
                <w:rFonts w:ascii="Arial" w:hAnsi="Arial" w:cs="Arial"/>
                <w:b/>
                <w:bCs/>
                <w:noProof/>
                <w:webHidden/>
                <w:color w:val="000000" w:themeColor="text1"/>
                <w:szCs w:val="24"/>
              </w:rPr>
              <w:fldChar w:fldCharType="end"/>
            </w:r>
          </w:hyperlink>
        </w:p>
        <w:p w14:paraId="383DD351" w14:textId="77777777" w:rsidR="005313C4" w:rsidRPr="003A7319" w:rsidRDefault="005313C4" w:rsidP="005313C4">
          <w:pPr>
            <w:pStyle w:val="TOC2"/>
            <w:tabs>
              <w:tab w:val="right" w:leader="dot" w:pos="9350"/>
            </w:tabs>
            <w:rPr>
              <w:rFonts w:ascii="Arial" w:hAnsi="Arial" w:cs="Arial"/>
              <w:b/>
              <w:bCs/>
              <w:noProof/>
              <w:color w:val="000000" w:themeColor="text1"/>
              <w:szCs w:val="24"/>
            </w:rPr>
          </w:pPr>
          <w:hyperlink w:anchor="_Toc224846301" w:history="1">
            <w:r w:rsidRPr="003A7319">
              <w:rPr>
                <w:rStyle w:val="Hyperlink"/>
                <w:rFonts w:ascii="Arial" w:hAnsi="Arial" w:cs="Arial"/>
                <w:b/>
                <w:bCs/>
                <w:noProof/>
                <w:color w:val="000000" w:themeColor="text1"/>
                <w:szCs w:val="24"/>
              </w:rPr>
              <w:t>Literature Review</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_Toc224846301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6</w:t>
            </w:r>
            <w:r w:rsidRPr="003A7319">
              <w:rPr>
                <w:rFonts w:ascii="Arial" w:hAnsi="Arial" w:cs="Arial"/>
                <w:b/>
                <w:bCs/>
                <w:noProof/>
                <w:webHidden/>
                <w:color w:val="000000" w:themeColor="text1"/>
                <w:szCs w:val="24"/>
              </w:rPr>
              <w:fldChar w:fldCharType="end"/>
            </w:r>
          </w:hyperlink>
        </w:p>
        <w:p w14:paraId="36E08BD7" w14:textId="77777777" w:rsidR="005313C4" w:rsidRPr="003A7319" w:rsidRDefault="005313C4" w:rsidP="005313C4">
          <w:pPr>
            <w:pStyle w:val="TOC2"/>
            <w:tabs>
              <w:tab w:val="right" w:leader="dot" w:pos="9350"/>
            </w:tabs>
            <w:rPr>
              <w:rFonts w:ascii="Arial" w:hAnsi="Arial" w:cs="Arial"/>
              <w:b/>
              <w:bCs/>
              <w:noProof/>
              <w:color w:val="000000" w:themeColor="text1"/>
              <w:szCs w:val="24"/>
            </w:rPr>
          </w:pPr>
          <w:hyperlink w:anchor="_Toc224846302" w:history="1">
            <w:r w:rsidRPr="003A7319">
              <w:rPr>
                <w:rStyle w:val="Hyperlink"/>
                <w:rFonts w:ascii="Arial" w:hAnsi="Arial" w:cs="Arial"/>
                <w:b/>
                <w:bCs/>
                <w:noProof/>
                <w:color w:val="000000" w:themeColor="text1"/>
                <w:szCs w:val="24"/>
              </w:rPr>
              <w:t>Methodology</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_Toc224846302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9</w:t>
            </w:r>
            <w:r w:rsidRPr="003A7319">
              <w:rPr>
                <w:rFonts w:ascii="Arial" w:hAnsi="Arial" w:cs="Arial"/>
                <w:b/>
                <w:bCs/>
                <w:noProof/>
                <w:webHidden/>
                <w:color w:val="000000" w:themeColor="text1"/>
                <w:szCs w:val="24"/>
              </w:rPr>
              <w:fldChar w:fldCharType="end"/>
            </w:r>
          </w:hyperlink>
        </w:p>
        <w:p w14:paraId="5F618089" w14:textId="77777777" w:rsidR="005313C4" w:rsidRPr="003A7319" w:rsidRDefault="005313C4" w:rsidP="005313C4">
          <w:pPr>
            <w:pStyle w:val="TOC2"/>
            <w:tabs>
              <w:tab w:val="right" w:leader="dot" w:pos="9350"/>
            </w:tabs>
            <w:rPr>
              <w:rFonts w:ascii="Arial" w:hAnsi="Arial" w:cs="Arial"/>
              <w:b/>
              <w:bCs/>
              <w:noProof/>
              <w:color w:val="000000" w:themeColor="text1"/>
              <w:szCs w:val="24"/>
            </w:rPr>
          </w:pPr>
          <w:hyperlink w:anchor="_Toc224846303" w:history="1">
            <w:r w:rsidRPr="003A7319">
              <w:rPr>
                <w:rStyle w:val="Hyperlink"/>
                <w:rFonts w:ascii="Arial" w:hAnsi="Arial" w:cs="Arial"/>
                <w:b/>
                <w:bCs/>
                <w:noProof/>
                <w:color w:val="000000" w:themeColor="text1"/>
                <w:szCs w:val="24"/>
              </w:rPr>
              <w:t>Methodology</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_Toc224846303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11</w:t>
            </w:r>
            <w:r w:rsidRPr="003A7319">
              <w:rPr>
                <w:rFonts w:ascii="Arial" w:hAnsi="Arial" w:cs="Arial"/>
                <w:b/>
                <w:bCs/>
                <w:noProof/>
                <w:webHidden/>
                <w:color w:val="000000" w:themeColor="text1"/>
                <w:szCs w:val="24"/>
              </w:rPr>
              <w:fldChar w:fldCharType="end"/>
            </w:r>
          </w:hyperlink>
        </w:p>
        <w:p w14:paraId="3A8CE1E9" w14:textId="77777777" w:rsidR="005313C4" w:rsidRPr="003A7319" w:rsidRDefault="005313C4" w:rsidP="005313C4">
          <w:pPr>
            <w:pStyle w:val="TOC2"/>
            <w:tabs>
              <w:tab w:val="right" w:leader="dot" w:pos="9350"/>
            </w:tabs>
            <w:rPr>
              <w:rFonts w:ascii="Arial" w:hAnsi="Arial" w:cs="Arial"/>
              <w:b/>
              <w:bCs/>
              <w:noProof/>
              <w:color w:val="000000" w:themeColor="text1"/>
              <w:szCs w:val="24"/>
            </w:rPr>
          </w:pPr>
          <w:hyperlink w:anchor="_Toc224846304" w:history="1">
            <w:r w:rsidRPr="003A7319">
              <w:rPr>
                <w:rStyle w:val="Hyperlink"/>
                <w:rFonts w:ascii="Arial" w:hAnsi="Arial" w:cs="Arial"/>
                <w:b/>
                <w:bCs/>
                <w:noProof/>
                <w:color w:val="000000" w:themeColor="text1"/>
                <w:szCs w:val="24"/>
              </w:rPr>
              <w:t>Findings</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_Toc224846304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13</w:t>
            </w:r>
            <w:r w:rsidRPr="003A7319">
              <w:rPr>
                <w:rFonts w:ascii="Arial" w:hAnsi="Arial" w:cs="Arial"/>
                <w:b/>
                <w:bCs/>
                <w:noProof/>
                <w:webHidden/>
                <w:color w:val="000000" w:themeColor="text1"/>
                <w:szCs w:val="24"/>
              </w:rPr>
              <w:fldChar w:fldCharType="end"/>
            </w:r>
          </w:hyperlink>
        </w:p>
        <w:p w14:paraId="49C36ED3" w14:textId="77777777" w:rsidR="005313C4" w:rsidRPr="003A7319" w:rsidRDefault="005313C4" w:rsidP="005313C4">
          <w:pPr>
            <w:pStyle w:val="TOC2"/>
            <w:tabs>
              <w:tab w:val="right" w:leader="dot" w:pos="9350"/>
            </w:tabs>
            <w:rPr>
              <w:rFonts w:ascii="Arial" w:hAnsi="Arial" w:cs="Arial"/>
              <w:b/>
              <w:bCs/>
              <w:noProof/>
              <w:color w:val="000000" w:themeColor="text1"/>
              <w:szCs w:val="24"/>
            </w:rPr>
          </w:pPr>
          <w:hyperlink w:anchor="_Toc224846305" w:history="1">
            <w:r w:rsidRPr="003A7319">
              <w:rPr>
                <w:rStyle w:val="Hyperlink"/>
                <w:rFonts w:ascii="Arial" w:hAnsi="Arial" w:cs="Arial"/>
                <w:b/>
                <w:bCs/>
                <w:noProof/>
                <w:color w:val="000000" w:themeColor="text1"/>
                <w:szCs w:val="24"/>
              </w:rPr>
              <w:t>Discussion</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_Toc224846305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16</w:t>
            </w:r>
            <w:r w:rsidRPr="003A7319">
              <w:rPr>
                <w:rFonts w:ascii="Arial" w:hAnsi="Arial" w:cs="Arial"/>
                <w:b/>
                <w:bCs/>
                <w:noProof/>
                <w:webHidden/>
                <w:color w:val="000000" w:themeColor="text1"/>
                <w:szCs w:val="24"/>
              </w:rPr>
              <w:fldChar w:fldCharType="end"/>
            </w:r>
          </w:hyperlink>
        </w:p>
        <w:p w14:paraId="697F83EB" w14:textId="77777777" w:rsidR="005313C4" w:rsidRPr="003A7319" w:rsidRDefault="005313C4" w:rsidP="005313C4">
          <w:pPr>
            <w:pStyle w:val="TOC2"/>
            <w:tabs>
              <w:tab w:val="right" w:leader="dot" w:pos="9350"/>
            </w:tabs>
            <w:rPr>
              <w:rFonts w:ascii="Arial" w:hAnsi="Arial" w:cs="Arial"/>
              <w:b/>
              <w:bCs/>
              <w:noProof/>
              <w:color w:val="000000" w:themeColor="text1"/>
              <w:szCs w:val="24"/>
            </w:rPr>
          </w:pPr>
          <w:hyperlink w:anchor="_Toc224846306" w:history="1">
            <w:r w:rsidRPr="003A7319">
              <w:rPr>
                <w:rStyle w:val="Hyperlink"/>
                <w:rFonts w:ascii="Arial" w:hAnsi="Arial" w:cs="Arial"/>
                <w:b/>
                <w:bCs/>
                <w:noProof/>
                <w:color w:val="000000" w:themeColor="text1"/>
                <w:szCs w:val="24"/>
              </w:rPr>
              <w:t>Conclusion</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_Toc224846306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20</w:t>
            </w:r>
            <w:r w:rsidRPr="003A7319">
              <w:rPr>
                <w:rFonts w:ascii="Arial" w:hAnsi="Arial" w:cs="Arial"/>
                <w:b/>
                <w:bCs/>
                <w:noProof/>
                <w:webHidden/>
                <w:color w:val="000000" w:themeColor="text1"/>
                <w:szCs w:val="24"/>
              </w:rPr>
              <w:fldChar w:fldCharType="end"/>
            </w:r>
          </w:hyperlink>
        </w:p>
        <w:p w14:paraId="5BF4C475" w14:textId="77777777" w:rsidR="005313C4" w:rsidRPr="003A7319" w:rsidRDefault="005313C4" w:rsidP="005313C4">
          <w:pPr>
            <w:pStyle w:val="TOC2"/>
            <w:tabs>
              <w:tab w:val="right" w:leader="dot" w:pos="9350"/>
            </w:tabs>
            <w:rPr>
              <w:rFonts w:ascii="Arial" w:hAnsi="Arial" w:cs="Arial"/>
              <w:b/>
              <w:bCs/>
              <w:noProof/>
              <w:color w:val="000000" w:themeColor="text1"/>
              <w:szCs w:val="24"/>
            </w:rPr>
          </w:pPr>
          <w:hyperlink w:anchor="_Toc224846307" w:history="1">
            <w:r w:rsidRPr="003A7319">
              <w:rPr>
                <w:rStyle w:val="Hyperlink"/>
                <w:rFonts w:ascii="Arial" w:hAnsi="Arial" w:cs="Arial"/>
                <w:b/>
                <w:bCs/>
                <w:noProof/>
                <w:color w:val="000000" w:themeColor="text1"/>
                <w:szCs w:val="24"/>
              </w:rPr>
              <w:t>References</w:t>
            </w:r>
            <w:r w:rsidRPr="003A7319">
              <w:rPr>
                <w:rFonts w:ascii="Arial" w:hAnsi="Arial" w:cs="Arial"/>
                <w:b/>
                <w:bCs/>
                <w:noProof/>
                <w:webHidden/>
                <w:color w:val="000000" w:themeColor="text1"/>
                <w:szCs w:val="24"/>
              </w:rPr>
              <w:tab/>
            </w:r>
            <w:r w:rsidRPr="003A7319">
              <w:rPr>
                <w:rFonts w:ascii="Arial" w:hAnsi="Arial" w:cs="Arial"/>
                <w:b/>
                <w:bCs/>
                <w:noProof/>
                <w:webHidden/>
                <w:color w:val="000000" w:themeColor="text1"/>
                <w:szCs w:val="24"/>
              </w:rPr>
              <w:fldChar w:fldCharType="begin"/>
            </w:r>
            <w:r w:rsidRPr="003A7319">
              <w:rPr>
                <w:rFonts w:ascii="Arial" w:hAnsi="Arial" w:cs="Arial"/>
                <w:b/>
                <w:bCs/>
                <w:noProof/>
                <w:webHidden/>
                <w:color w:val="000000" w:themeColor="text1"/>
                <w:szCs w:val="24"/>
              </w:rPr>
              <w:instrText xml:space="preserve"> PAGEREF _Toc224846307 \h </w:instrText>
            </w:r>
            <w:r w:rsidRPr="003A7319">
              <w:rPr>
                <w:rFonts w:ascii="Arial" w:hAnsi="Arial" w:cs="Arial"/>
                <w:b/>
                <w:bCs/>
                <w:noProof/>
                <w:webHidden/>
                <w:color w:val="000000" w:themeColor="text1"/>
                <w:szCs w:val="24"/>
              </w:rPr>
            </w:r>
            <w:r w:rsidRPr="003A7319">
              <w:rPr>
                <w:rFonts w:ascii="Arial" w:hAnsi="Arial" w:cs="Arial"/>
                <w:b/>
                <w:bCs/>
                <w:noProof/>
                <w:webHidden/>
                <w:color w:val="000000" w:themeColor="text1"/>
                <w:szCs w:val="24"/>
              </w:rPr>
              <w:fldChar w:fldCharType="separate"/>
            </w:r>
            <w:r w:rsidRPr="003A7319">
              <w:rPr>
                <w:rFonts w:ascii="Arial" w:hAnsi="Arial" w:cs="Arial"/>
                <w:b/>
                <w:bCs/>
                <w:noProof/>
                <w:webHidden/>
                <w:color w:val="000000" w:themeColor="text1"/>
                <w:szCs w:val="24"/>
              </w:rPr>
              <w:t>22</w:t>
            </w:r>
            <w:r w:rsidRPr="003A7319">
              <w:rPr>
                <w:rFonts w:ascii="Arial" w:hAnsi="Arial" w:cs="Arial"/>
                <w:b/>
                <w:bCs/>
                <w:noProof/>
                <w:webHidden/>
                <w:color w:val="000000" w:themeColor="text1"/>
                <w:szCs w:val="24"/>
              </w:rPr>
              <w:fldChar w:fldCharType="end"/>
            </w:r>
          </w:hyperlink>
        </w:p>
        <w:p w14:paraId="5821A088" w14:textId="77777777" w:rsidR="005313C4" w:rsidRPr="003A7319" w:rsidRDefault="005313C4" w:rsidP="005313C4">
          <w:pPr>
            <w:rPr>
              <w:rFonts w:ascii="Arial" w:hAnsi="Arial" w:cs="Arial"/>
              <w:color w:val="000000" w:themeColor="text1"/>
              <w:szCs w:val="24"/>
            </w:rPr>
          </w:pPr>
          <w:r w:rsidRPr="003A7319">
            <w:rPr>
              <w:rFonts w:ascii="Arial" w:hAnsi="Arial" w:cs="Arial"/>
              <w:b/>
              <w:bCs/>
              <w:noProof/>
              <w:color w:val="000000" w:themeColor="text1"/>
              <w:szCs w:val="24"/>
            </w:rPr>
            <w:fldChar w:fldCharType="end"/>
          </w:r>
        </w:p>
      </w:sdtContent>
    </w:sdt>
    <w:p w14:paraId="1D186E0E" w14:textId="77777777" w:rsidR="005313C4" w:rsidRPr="003A7319" w:rsidRDefault="005313C4" w:rsidP="005313C4">
      <w:pPr>
        <w:spacing w:line="480" w:lineRule="auto"/>
        <w:rPr>
          <w:rFonts w:ascii="Arial" w:hAnsi="Arial" w:cs="Arial"/>
          <w:b/>
          <w:bCs/>
          <w:color w:val="000000" w:themeColor="text1"/>
          <w:szCs w:val="24"/>
        </w:rPr>
      </w:pPr>
    </w:p>
    <w:p w14:paraId="4D42D119" w14:textId="77777777" w:rsidR="005313C4" w:rsidRPr="003A7319" w:rsidRDefault="005313C4" w:rsidP="005313C4">
      <w:pPr>
        <w:spacing w:line="480" w:lineRule="auto"/>
        <w:rPr>
          <w:rFonts w:ascii="Arial" w:hAnsi="Arial" w:cs="Arial"/>
          <w:b/>
          <w:bCs/>
          <w:color w:val="000000" w:themeColor="text1"/>
          <w:szCs w:val="24"/>
        </w:rPr>
      </w:pPr>
    </w:p>
    <w:p w14:paraId="175C86E6" w14:textId="77777777" w:rsidR="005313C4" w:rsidRPr="003A7319" w:rsidRDefault="005313C4" w:rsidP="005313C4">
      <w:pPr>
        <w:spacing w:line="480" w:lineRule="auto"/>
        <w:rPr>
          <w:rFonts w:ascii="Arial" w:hAnsi="Arial" w:cs="Arial"/>
          <w:b/>
          <w:bCs/>
          <w:color w:val="000000" w:themeColor="text1"/>
          <w:szCs w:val="24"/>
        </w:rPr>
      </w:pPr>
    </w:p>
    <w:p w14:paraId="53AFDEB9" w14:textId="77777777" w:rsidR="005313C4" w:rsidRPr="003A7319" w:rsidRDefault="005313C4" w:rsidP="005313C4">
      <w:pPr>
        <w:spacing w:line="480" w:lineRule="auto"/>
        <w:rPr>
          <w:rFonts w:ascii="Arial" w:hAnsi="Arial" w:cs="Arial"/>
          <w:b/>
          <w:bCs/>
          <w:color w:val="000000" w:themeColor="text1"/>
          <w:szCs w:val="24"/>
        </w:rPr>
      </w:pPr>
    </w:p>
    <w:p w14:paraId="1D004FC0" w14:textId="77777777" w:rsidR="005313C4" w:rsidRPr="003A7319" w:rsidRDefault="005313C4" w:rsidP="005313C4">
      <w:pPr>
        <w:spacing w:line="480" w:lineRule="auto"/>
        <w:rPr>
          <w:rFonts w:ascii="Arial" w:hAnsi="Arial" w:cs="Arial"/>
          <w:b/>
          <w:bCs/>
          <w:color w:val="000000" w:themeColor="text1"/>
          <w:szCs w:val="24"/>
        </w:rPr>
      </w:pPr>
    </w:p>
    <w:p w14:paraId="30004BD9" w14:textId="77777777" w:rsidR="005313C4" w:rsidRPr="003A7319" w:rsidRDefault="005313C4" w:rsidP="005313C4">
      <w:pPr>
        <w:spacing w:line="480" w:lineRule="auto"/>
        <w:rPr>
          <w:rFonts w:ascii="Arial" w:hAnsi="Arial" w:cs="Arial"/>
          <w:b/>
          <w:bCs/>
          <w:color w:val="000000" w:themeColor="text1"/>
          <w:szCs w:val="24"/>
        </w:rPr>
      </w:pPr>
    </w:p>
    <w:p w14:paraId="166A882B" w14:textId="77777777" w:rsidR="005313C4" w:rsidRPr="003A7319" w:rsidRDefault="005313C4" w:rsidP="005313C4">
      <w:pPr>
        <w:spacing w:line="480" w:lineRule="auto"/>
        <w:rPr>
          <w:rFonts w:ascii="Arial" w:hAnsi="Arial" w:cs="Arial"/>
          <w:b/>
          <w:bCs/>
          <w:color w:val="000000" w:themeColor="text1"/>
          <w:szCs w:val="24"/>
        </w:rPr>
      </w:pPr>
    </w:p>
    <w:p w14:paraId="0FF6A647" w14:textId="77777777" w:rsidR="005313C4" w:rsidRPr="003A7319" w:rsidRDefault="005313C4" w:rsidP="005313C4">
      <w:pPr>
        <w:spacing w:line="480" w:lineRule="auto"/>
        <w:rPr>
          <w:rFonts w:ascii="Arial" w:hAnsi="Arial" w:cs="Arial"/>
          <w:b/>
          <w:bCs/>
          <w:color w:val="000000" w:themeColor="text1"/>
          <w:szCs w:val="24"/>
        </w:rPr>
      </w:pPr>
    </w:p>
    <w:p w14:paraId="04559E4E" w14:textId="77777777" w:rsidR="005313C4" w:rsidRPr="003A7319" w:rsidRDefault="005313C4" w:rsidP="005313C4">
      <w:pPr>
        <w:spacing w:line="480" w:lineRule="auto"/>
        <w:rPr>
          <w:rFonts w:ascii="Arial" w:hAnsi="Arial" w:cs="Arial"/>
          <w:b/>
          <w:bCs/>
          <w:color w:val="000000" w:themeColor="text1"/>
          <w:szCs w:val="24"/>
        </w:rPr>
      </w:pPr>
    </w:p>
    <w:p w14:paraId="0FFDC939" w14:textId="77777777" w:rsidR="005313C4" w:rsidRDefault="005313C4" w:rsidP="005313C4">
      <w:pPr>
        <w:spacing w:line="480" w:lineRule="auto"/>
        <w:rPr>
          <w:rFonts w:ascii="Arial" w:hAnsi="Arial" w:cs="Arial"/>
          <w:b/>
          <w:bCs/>
          <w:color w:val="000000" w:themeColor="text1"/>
          <w:szCs w:val="24"/>
        </w:rPr>
      </w:pPr>
    </w:p>
    <w:p w14:paraId="5E4A6BEB" w14:textId="77777777" w:rsidR="003A7319" w:rsidRPr="003A7319" w:rsidRDefault="003A7319" w:rsidP="005313C4">
      <w:pPr>
        <w:spacing w:line="480" w:lineRule="auto"/>
        <w:rPr>
          <w:rFonts w:ascii="Arial" w:hAnsi="Arial" w:cs="Arial"/>
          <w:b/>
          <w:bCs/>
          <w:color w:val="000000" w:themeColor="text1"/>
          <w:szCs w:val="24"/>
        </w:rPr>
      </w:pPr>
    </w:p>
    <w:p w14:paraId="42BE804F"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lastRenderedPageBreak/>
        <w:t>Introduction</w:t>
      </w:r>
    </w:p>
    <w:p w14:paraId="214D2334"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Accounting has been transformed enormously to a mere record keeping invocation to a multifaceted structure that assists strategic decision making in contemporary business settings. The basic accounting equation is the basis of the accounting of Assets = Liabilities + Owner’s Equity that forms the structural basis of financial reporting. Nonetheless, with the growth of global markets and the sophistication of financial transactions, the traditional accounting concepts have experienced a significant change, </w:t>
      </w:r>
      <w:proofErr w:type="gramStart"/>
      <w:r w:rsidRPr="003A7319">
        <w:rPr>
          <w:rFonts w:ascii="Arial" w:eastAsiaTheme="majorEastAsia" w:hAnsi="Arial" w:cs="Arial"/>
          <w:color w:val="000000" w:themeColor="text1"/>
          <w:szCs w:val="24"/>
        </w:rPr>
        <w:t>in order to</w:t>
      </w:r>
      <w:proofErr w:type="gramEnd"/>
      <w:r w:rsidRPr="003A7319">
        <w:rPr>
          <w:rFonts w:ascii="Arial" w:eastAsiaTheme="majorEastAsia" w:hAnsi="Arial" w:cs="Arial"/>
          <w:color w:val="000000" w:themeColor="text1"/>
          <w:szCs w:val="24"/>
        </w:rPr>
        <w:t xml:space="preserve"> continue to be relevant and trustworthy (</w:t>
      </w:r>
      <w:proofErr w:type="spellStart"/>
      <w:r w:rsidRPr="003A7319">
        <w:rPr>
          <w:rFonts w:ascii="Arial" w:eastAsiaTheme="majorEastAsia" w:hAnsi="Arial" w:cs="Arial"/>
          <w:color w:val="000000" w:themeColor="text1"/>
          <w:szCs w:val="24"/>
        </w:rPr>
        <w:t>Kieso</w:t>
      </w:r>
      <w:proofErr w:type="spellEnd"/>
      <w:r w:rsidRPr="003A7319">
        <w:rPr>
          <w:rFonts w:ascii="Arial" w:eastAsiaTheme="majorEastAsia" w:hAnsi="Arial" w:cs="Arial"/>
          <w:color w:val="000000" w:themeColor="text1"/>
          <w:szCs w:val="24"/>
        </w:rPr>
        <w:t xml:space="preserve"> et al., 2020). Modern accounting has seen the adoption of sophisticated measurement systems, laws, and ethics to address the needs of different stakeholders.</w:t>
      </w:r>
    </w:p>
    <w:p w14:paraId="274C46D4"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introduction of global standards like International Financial Reporting Standards (IFRS) has been one of the biggest advancements of modern accounting as it seeks to promote comparability and transparency of markets in different countries across the globe. By contrast, Generally Accepted Accounting Principles (GAAP), which are mostly employed in the United States, are more </w:t>
      </w:r>
      <w:proofErr w:type="gramStart"/>
      <w:r w:rsidRPr="003A7319">
        <w:rPr>
          <w:rFonts w:ascii="Arial" w:eastAsiaTheme="majorEastAsia" w:hAnsi="Arial" w:cs="Arial"/>
          <w:color w:val="000000" w:themeColor="text1"/>
          <w:szCs w:val="24"/>
        </w:rPr>
        <w:t>rule-oriented</w:t>
      </w:r>
      <w:proofErr w:type="gramEnd"/>
      <w:r w:rsidRPr="003A7319">
        <w:rPr>
          <w:rFonts w:ascii="Arial" w:eastAsiaTheme="majorEastAsia" w:hAnsi="Arial" w:cs="Arial"/>
          <w:color w:val="000000" w:themeColor="text1"/>
          <w:szCs w:val="24"/>
        </w:rPr>
        <w:t>. These differences between these frameworks have significant implications on financial reporting and investment decisions (Barth et al., 2012). Moreover, corporate governance has also assumed an important factor in the integrity of financial information since good governance tools contribute to avoidance of fraud and encouraging accountability (Bushman &amp; Smith, 2001).</w:t>
      </w:r>
    </w:p>
    <w:p w14:paraId="3445EAB0"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Moreover, the interdependence of the financial statements i.e. balance sheet, income statement and cash flow statement gives one a holistic picture of the financial performance and position of an organization. Advanced accounting principles including </w:t>
      </w:r>
      <w:r w:rsidRPr="003A7319">
        <w:rPr>
          <w:rFonts w:ascii="Arial" w:eastAsiaTheme="majorEastAsia" w:hAnsi="Arial" w:cs="Arial"/>
          <w:color w:val="000000" w:themeColor="text1"/>
          <w:szCs w:val="24"/>
        </w:rPr>
        <w:lastRenderedPageBreak/>
        <w:t>fair value accounting, asset impairment and off-balance-sheet financing are also evidence of the growing complexity of financial reporting. Although these ideas contribute to increased relevance, they also have drawbacks of measurement reliability and transparency (Penman, 2007).</w:t>
      </w:r>
    </w:p>
    <w:p w14:paraId="79493A33"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Generally, it is vital to be conversant with these changing accounting principles </w:t>
      </w:r>
      <w:proofErr w:type="gramStart"/>
      <w:r w:rsidRPr="003A7319">
        <w:rPr>
          <w:rFonts w:ascii="Arial" w:eastAsiaTheme="majorEastAsia" w:hAnsi="Arial" w:cs="Arial"/>
          <w:color w:val="000000" w:themeColor="text1"/>
          <w:szCs w:val="24"/>
        </w:rPr>
        <w:t>in order to</w:t>
      </w:r>
      <w:proofErr w:type="gramEnd"/>
      <w:r w:rsidRPr="003A7319">
        <w:rPr>
          <w:rFonts w:ascii="Arial" w:eastAsiaTheme="majorEastAsia" w:hAnsi="Arial" w:cs="Arial"/>
          <w:color w:val="000000" w:themeColor="text1"/>
          <w:szCs w:val="24"/>
        </w:rPr>
        <w:t xml:space="preserve"> </w:t>
      </w:r>
      <w:proofErr w:type="spellStart"/>
      <w:r w:rsidRPr="003A7319">
        <w:rPr>
          <w:rFonts w:ascii="Arial" w:eastAsiaTheme="majorEastAsia" w:hAnsi="Arial" w:cs="Arial"/>
          <w:color w:val="000000" w:themeColor="text1"/>
          <w:szCs w:val="24"/>
        </w:rPr>
        <w:t>analyze</w:t>
      </w:r>
      <w:proofErr w:type="spellEnd"/>
      <w:r w:rsidRPr="003A7319">
        <w:rPr>
          <w:rFonts w:ascii="Arial" w:eastAsiaTheme="majorEastAsia" w:hAnsi="Arial" w:cs="Arial"/>
          <w:color w:val="000000" w:themeColor="text1"/>
          <w:szCs w:val="24"/>
        </w:rPr>
        <w:t xml:space="preserve"> financial health, promote ethical </w:t>
      </w:r>
      <w:proofErr w:type="spellStart"/>
      <w:r w:rsidRPr="003A7319">
        <w:rPr>
          <w:rFonts w:ascii="Arial" w:eastAsiaTheme="majorEastAsia" w:hAnsi="Arial" w:cs="Arial"/>
          <w:color w:val="000000" w:themeColor="text1"/>
          <w:szCs w:val="24"/>
        </w:rPr>
        <w:t>behaviors</w:t>
      </w:r>
      <w:proofErr w:type="spellEnd"/>
      <w:r w:rsidRPr="003A7319">
        <w:rPr>
          <w:rFonts w:ascii="Arial" w:eastAsiaTheme="majorEastAsia" w:hAnsi="Arial" w:cs="Arial"/>
          <w:color w:val="000000" w:themeColor="text1"/>
          <w:szCs w:val="24"/>
        </w:rPr>
        <w:t>, and facilitate informed business decision making in a dynamic global economy.</w:t>
      </w:r>
    </w:p>
    <w:p w14:paraId="094AB5AF" w14:textId="77777777" w:rsidR="003A7319" w:rsidRPr="003A7319" w:rsidRDefault="003A7319" w:rsidP="003A7319">
      <w:pPr>
        <w:spacing w:line="480" w:lineRule="auto"/>
        <w:rPr>
          <w:rFonts w:ascii="Arial" w:eastAsiaTheme="majorEastAsia" w:hAnsi="Arial" w:cs="Arial"/>
          <w:color w:val="000000" w:themeColor="text1"/>
          <w:szCs w:val="24"/>
        </w:rPr>
      </w:pPr>
    </w:p>
    <w:p w14:paraId="1228B77E" w14:textId="77777777" w:rsidR="003A7319" w:rsidRPr="003A7319" w:rsidRDefault="003A7319" w:rsidP="003A7319">
      <w:pPr>
        <w:spacing w:line="480" w:lineRule="auto"/>
        <w:rPr>
          <w:rFonts w:ascii="Arial" w:eastAsiaTheme="majorEastAsia" w:hAnsi="Arial" w:cs="Arial"/>
          <w:color w:val="000000" w:themeColor="text1"/>
          <w:szCs w:val="24"/>
        </w:rPr>
      </w:pPr>
    </w:p>
    <w:p w14:paraId="3F142A1A" w14:textId="77777777" w:rsidR="003A7319" w:rsidRPr="003A7319" w:rsidRDefault="003A7319" w:rsidP="003A7319">
      <w:pPr>
        <w:spacing w:line="480" w:lineRule="auto"/>
        <w:rPr>
          <w:rFonts w:ascii="Arial" w:eastAsiaTheme="majorEastAsia" w:hAnsi="Arial" w:cs="Arial"/>
          <w:color w:val="000000" w:themeColor="text1"/>
          <w:szCs w:val="24"/>
        </w:rPr>
      </w:pPr>
    </w:p>
    <w:p w14:paraId="039FEC4F" w14:textId="77777777" w:rsidR="003A7319" w:rsidRPr="003A7319" w:rsidRDefault="003A7319" w:rsidP="003A7319">
      <w:pPr>
        <w:spacing w:line="480" w:lineRule="auto"/>
        <w:rPr>
          <w:rFonts w:ascii="Arial" w:eastAsiaTheme="majorEastAsia" w:hAnsi="Arial" w:cs="Arial"/>
          <w:color w:val="000000" w:themeColor="text1"/>
          <w:szCs w:val="24"/>
        </w:rPr>
      </w:pPr>
    </w:p>
    <w:p w14:paraId="29394368" w14:textId="77777777" w:rsidR="003A7319" w:rsidRPr="003A7319" w:rsidRDefault="003A7319" w:rsidP="003A7319">
      <w:pPr>
        <w:spacing w:line="480" w:lineRule="auto"/>
        <w:rPr>
          <w:rFonts w:ascii="Arial" w:eastAsiaTheme="majorEastAsia" w:hAnsi="Arial" w:cs="Arial"/>
          <w:color w:val="000000" w:themeColor="text1"/>
          <w:szCs w:val="24"/>
        </w:rPr>
      </w:pPr>
    </w:p>
    <w:p w14:paraId="14DBA2CF" w14:textId="77777777" w:rsidR="003A7319" w:rsidRPr="003A7319" w:rsidRDefault="003A7319" w:rsidP="003A7319">
      <w:pPr>
        <w:spacing w:line="480" w:lineRule="auto"/>
        <w:rPr>
          <w:rFonts w:ascii="Arial" w:eastAsiaTheme="majorEastAsia" w:hAnsi="Arial" w:cs="Arial"/>
          <w:color w:val="000000" w:themeColor="text1"/>
          <w:szCs w:val="24"/>
        </w:rPr>
      </w:pPr>
    </w:p>
    <w:p w14:paraId="49019140" w14:textId="77777777" w:rsidR="003A7319" w:rsidRPr="003A7319" w:rsidRDefault="003A7319" w:rsidP="003A7319">
      <w:pPr>
        <w:spacing w:line="480" w:lineRule="auto"/>
        <w:rPr>
          <w:rFonts w:ascii="Arial" w:eastAsiaTheme="majorEastAsia" w:hAnsi="Arial" w:cs="Arial"/>
          <w:color w:val="000000" w:themeColor="text1"/>
          <w:szCs w:val="24"/>
        </w:rPr>
      </w:pPr>
    </w:p>
    <w:p w14:paraId="5C2E2AFA" w14:textId="77777777" w:rsidR="003A7319" w:rsidRPr="003A7319" w:rsidRDefault="003A7319" w:rsidP="003A7319">
      <w:pPr>
        <w:spacing w:line="480" w:lineRule="auto"/>
        <w:rPr>
          <w:rFonts w:ascii="Arial" w:eastAsiaTheme="majorEastAsia" w:hAnsi="Arial" w:cs="Arial"/>
          <w:color w:val="000000" w:themeColor="text1"/>
          <w:szCs w:val="24"/>
        </w:rPr>
      </w:pPr>
    </w:p>
    <w:p w14:paraId="723393C8" w14:textId="77777777" w:rsidR="003A7319" w:rsidRPr="003A7319" w:rsidRDefault="003A7319" w:rsidP="003A7319">
      <w:pPr>
        <w:spacing w:line="480" w:lineRule="auto"/>
        <w:rPr>
          <w:rFonts w:ascii="Arial" w:eastAsiaTheme="majorEastAsia" w:hAnsi="Arial" w:cs="Arial"/>
          <w:color w:val="000000" w:themeColor="text1"/>
          <w:szCs w:val="24"/>
        </w:rPr>
      </w:pPr>
    </w:p>
    <w:p w14:paraId="3FB94D20" w14:textId="77777777" w:rsidR="003A7319" w:rsidRPr="003A7319" w:rsidRDefault="003A7319" w:rsidP="003A7319">
      <w:pPr>
        <w:spacing w:line="480" w:lineRule="auto"/>
        <w:rPr>
          <w:rFonts w:ascii="Arial" w:eastAsiaTheme="majorEastAsia" w:hAnsi="Arial" w:cs="Arial"/>
          <w:color w:val="000000" w:themeColor="text1"/>
          <w:szCs w:val="24"/>
        </w:rPr>
      </w:pPr>
    </w:p>
    <w:p w14:paraId="42D0AD00" w14:textId="77777777" w:rsidR="003A7319" w:rsidRPr="003A7319" w:rsidRDefault="003A7319" w:rsidP="003A7319">
      <w:pPr>
        <w:spacing w:line="480" w:lineRule="auto"/>
        <w:rPr>
          <w:rFonts w:ascii="Arial" w:eastAsiaTheme="majorEastAsia" w:hAnsi="Arial" w:cs="Arial"/>
          <w:color w:val="000000" w:themeColor="text1"/>
          <w:szCs w:val="24"/>
        </w:rPr>
      </w:pPr>
    </w:p>
    <w:p w14:paraId="364480C4" w14:textId="77777777" w:rsidR="003A7319" w:rsidRPr="003A7319" w:rsidRDefault="003A7319" w:rsidP="003A7319">
      <w:pPr>
        <w:spacing w:line="480" w:lineRule="auto"/>
        <w:rPr>
          <w:rFonts w:ascii="Arial" w:eastAsiaTheme="majorEastAsia" w:hAnsi="Arial" w:cs="Arial"/>
          <w:color w:val="000000" w:themeColor="text1"/>
          <w:szCs w:val="24"/>
        </w:rPr>
      </w:pPr>
    </w:p>
    <w:p w14:paraId="7D0CA39C"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lastRenderedPageBreak/>
        <w:t>Literature Review</w:t>
      </w:r>
    </w:p>
    <w:p w14:paraId="68ED91A7"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The development of the accounting theory can be viewed as the reflection of the complexity of the business environment and the need to ensure transparency, comparability, and reliability of financial reporting. The accounting concept especially the accounting equation (Assets = Liabilities + Owner Equity) has been the pillar of financial reporting ever since. Scholars, however, say that this framework has been greatly extended to fit the latest financial instruments, international transactions, and regulatory needs (</w:t>
      </w:r>
      <w:proofErr w:type="spellStart"/>
      <w:r w:rsidRPr="003A7319">
        <w:rPr>
          <w:rFonts w:ascii="Arial" w:eastAsiaTheme="majorEastAsia" w:hAnsi="Arial" w:cs="Arial"/>
          <w:color w:val="000000" w:themeColor="text1"/>
          <w:szCs w:val="24"/>
        </w:rPr>
        <w:t>Kieso</w:t>
      </w:r>
      <w:proofErr w:type="spellEnd"/>
      <w:r w:rsidRPr="003A7319">
        <w:rPr>
          <w:rFonts w:ascii="Arial" w:eastAsiaTheme="majorEastAsia" w:hAnsi="Arial" w:cs="Arial"/>
          <w:color w:val="000000" w:themeColor="text1"/>
          <w:szCs w:val="24"/>
        </w:rPr>
        <w:t xml:space="preserve"> et al., 2020). The accounting theory is dynamic as evidenced by the transformation of historical cost accounting into more market-oriented approaches.</w:t>
      </w:r>
    </w:p>
    <w:p w14:paraId="7CF9A8C7"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The implementation of International Financial Reporting Standards (IFRS) and their comparison with Generally Accepted Accounting Principles (GAAP) is one of the most widely debated additions to the accounting literature. The IFRS is referred to as being more flexible and more professional than the GAAP, which is more rules based and gives explicit directives in case of certain situations (Barth et al., 2012). It has been proposed in research that IFRS use enhances the quality of financial reporting by the improvement of comparability and minimization of information asymmetry amongst investors (Barth et al., 2012). Critics, however, consider that the greater dependency on the judgment in the IFRS can cause inconsistency and possible manipulation unless it can be reinforced by robust governance standards (Soderstrom and Sun, 2007).</w:t>
      </w:r>
    </w:p>
    <w:p w14:paraId="10CCD6D4"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One of the main themes in accounting research has become corporate governance and the role it plays in the areas of financial transparency and ethical reporting. According to Bushman and Smith (2001), quality information on financial accounting has a significant role to play in corporate governance because it minimizes agency problems between </w:t>
      </w:r>
      <w:r w:rsidRPr="003A7319">
        <w:rPr>
          <w:rFonts w:ascii="Arial" w:eastAsiaTheme="majorEastAsia" w:hAnsi="Arial" w:cs="Arial"/>
          <w:color w:val="000000" w:themeColor="text1"/>
          <w:szCs w:val="24"/>
        </w:rPr>
        <w:lastRenderedPageBreak/>
        <w:t xml:space="preserve">shareholders and managers. Good governance mechanisms such as independent boards and audit committees help in better financial reporting and minimized fraud risks. On the same note, Healy and Palepu (2001) emphasize the importance of disclosure practices and regulatory supervision in alleviating information asymmetry and increasing investor confidence. It is the convergence of governance and accounting practices that is thus important to </w:t>
      </w:r>
      <w:proofErr w:type="gramStart"/>
      <w:r w:rsidRPr="003A7319">
        <w:rPr>
          <w:rFonts w:ascii="Arial" w:eastAsiaTheme="majorEastAsia" w:hAnsi="Arial" w:cs="Arial"/>
          <w:color w:val="000000" w:themeColor="text1"/>
          <w:szCs w:val="24"/>
        </w:rPr>
        <w:t>upholding</w:t>
      </w:r>
      <w:proofErr w:type="gramEnd"/>
      <w:r w:rsidRPr="003A7319">
        <w:rPr>
          <w:rFonts w:ascii="Arial" w:eastAsiaTheme="majorEastAsia" w:hAnsi="Arial" w:cs="Arial"/>
          <w:color w:val="000000" w:themeColor="text1"/>
          <w:szCs w:val="24"/>
        </w:rPr>
        <w:t xml:space="preserve"> the integrity of financial systems.</w:t>
      </w:r>
    </w:p>
    <w:p w14:paraId="1D5A324C"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The other major field of study is concerned with the interdependence of the financial statements. The balance sheet, income statement and cash flow statement are not stand-alone statements; they are related statements that when combined give us a clear picture of the financial position of an organization. Penman (2007) suggests that these relationships are important in understanding firm performance and determine future cash flows. As an example, net income indicated on the income statement has a direct impact on retained earnings on the balance sheet, whereas cash flow statement reveals information on liquidity and efficiency. Such interconnection allows improving the informational value of financial statements and making decisions more informed.</w:t>
      </w:r>
    </w:p>
    <w:p w14:paraId="284858B0"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increasing relevance of sophisticated accounting principles like fair value accounting is also pointed out in the literature. In some situations, especially of financial instruments, fair value measurement, which captures present circumstances, has been said to be more relevant than the historical cost accounting (Penman, 2007). Its dependability however has been doubted particularly when the market is volatile. It has been criticized that fair value accounting may create subjectivity and cause earnings volatility which could be misleading to stakeholders (Laux and </w:t>
      </w:r>
      <w:proofErr w:type="spellStart"/>
      <w:r w:rsidRPr="003A7319">
        <w:rPr>
          <w:rFonts w:ascii="Arial" w:eastAsiaTheme="majorEastAsia" w:hAnsi="Arial" w:cs="Arial"/>
          <w:color w:val="000000" w:themeColor="text1"/>
          <w:szCs w:val="24"/>
        </w:rPr>
        <w:t>Leuz</w:t>
      </w:r>
      <w:proofErr w:type="spellEnd"/>
      <w:r w:rsidRPr="003A7319">
        <w:rPr>
          <w:rFonts w:ascii="Arial" w:eastAsiaTheme="majorEastAsia" w:hAnsi="Arial" w:cs="Arial"/>
          <w:color w:val="000000" w:themeColor="text1"/>
          <w:szCs w:val="24"/>
        </w:rPr>
        <w:t xml:space="preserve">, 2009). Regardless </w:t>
      </w:r>
      <w:r w:rsidRPr="003A7319">
        <w:rPr>
          <w:rFonts w:ascii="Arial" w:eastAsiaTheme="majorEastAsia" w:hAnsi="Arial" w:cs="Arial"/>
          <w:color w:val="000000" w:themeColor="text1"/>
          <w:szCs w:val="24"/>
        </w:rPr>
        <w:lastRenderedPageBreak/>
        <w:t>of these issues, the supporters insist that fair value creates timely and decision-useful information, especially in dynamic financial markets.</w:t>
      </w:r>
    </w:p>
    <w:p w14:paraId="7A7F31EC"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Another sensitive concept of accounting research is asset impairment. The accounting of impairment will ensure that the asset is not recorded at a higher value than the recoverable amount of the asset hence increasing the accuracy of financial statements. Research shows that impairment testing enhances the relevance of financial data but could be at the cost of managerial discretion, and this can be exploited under opportunity (</w:t>
      </w:r>
      <w:proofErr w:type="spellStart"/>
      <w:r w:rsidRPr="003A7319">
        <w:rPr>
          <w:rFonts w:ascii="Arial" w:eastAsiaTheme="majorEastAsia" w:hAnsi="Arial" w:cs="Arial"/>
          <w:color w:val="000000" w:themeColor="text1"/>
          <w:szCs w:val="24"/>
        </w:rPr>
        <w:t>Ramanna</w:t>
      </w:r>
      <w:proofErr w:type="spellEnd"/>
      <w:r w:rsidRPr="003A7319">
        <w:rPr>
          <w:rFonts w:ascii="Arial" w:eastAsiaTheme="majorEastAsia" w:hAnsi="Arial" w:cs="Arial"/>
          <w:color w:val="000000" w:themeColor="text1"/>
          <w:szCs w:val="24"/>
        </w:rPr>
        <w:t xml:space="preserve"> and Watts, 2012). This underscores the importance of effective auditing and regulation to make sure that there is faithful reporting of financial information.</w:t>
      </w:r>
    </w:p>
    <w:p w14:paraId="7CAB30B4"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There has also been a lot of focus on off-balance-sheet financing which has its implications on financial transparency. This is a practice that enables companies to hold some liabilities and assets out of its balance </w:t>
      </w:r>
      <w:proofErr w:type="gramStart"/>
      <w:r w:rsidRPr="003A7319">
        <w:rPr>
          <w:rFonts w:ascii="Arial" w:eastAsiaTheme="majorEastAsia" w:hAnsi="Arial" w:cs="Arial"/>
          <w:color w:val="000000" w:themeColor="text1"/>
          <w:szCs w:val="24"/>
        </w:rPr>
        <w:t>sheets</w:t>
      </w:r>
      <w:proofErr w:type="gramEnd"/>
      <w:r w:rsidRPr="003A7319">
        <w:rPr>
          <w:rFonts w:ascii="Arial" w:eastAsiaTheme="majorEastAsia" w:hAnsi="Arial" w:cs="Arial"/>
          <w:color w:val="000000" w:themeColor="text1"/>
          <w:szCs w:val="24"/>
        </w:rPr>
        <w:t xml:space="preserve"> and this may distort the actual financial position of the firm. The fall of Enron is usually mentioned as a bright case of inappropriate use of off-balance-sheet arrangements that resulted in the intensified regulation and revisions (Healy and Palepu, 2003). The later standards including IFRS 16 on leases have sought to enhance transparency by mandating the inclusion of items that used to be off the balance sheet.</w:t>
      </w:r>
    </w:p>
    <w:p w14:paraId="4E7860E7"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In general, the literature suggests that the current accounting practice is determined by the requirement to balance the relevance and reliability and the need to respond to the globalization and financial innovation challenges. Although international standards like IFRS have enhanced comparability, their usefulness lies on implementation, governance and ethical considerations. Advanced accounting standards such as fair </w:t>
      </w:r>
      <w:r w:rsidRPr="003A7319">
        <w:rPr>
          <w:rFonts w:ascii="Arial" w:eastAsiaTheme="majorEastAsia" w:hAnsi="Arial" w:cs="Arial"/>
          <w:color w:val="000000" w:themeColor="text1"/>
          <w:szCs w:val="24"/>
        </w:rPr>
        <w:lastRenderedPageBreak/>
        <w:t>value measurement, impairment and off-balance-sheet financing add value to the informational value of financial statements but also create complexities that must be well regulated and judged by a professional. Therefore, there is still some development of the accounting theory today in response to economic changes, technological development, and stakeholder demands.</w:t>
      </w:r>
    </w:p>
    <w:p w14:paraId="7B2A4CF7" w14:textId="77777777" w:rsidR="003A7319" w:rsidRDefault="003A7319" w:rsidP="003A7319">
      <w:pPr>
        <w:spacing w:line="480" w:lineRule="auto"/>
        <w:rPr>
          <w:rFonts w:ascii="Arial" w:eastAsiaTheme="majorEastAsia" w:hAnsi="Arial" w:cs="Arial"/>
          <w:color w:val="000000" w:themeColor="text1"/>
          <w:szCs w:val="24"/>
        </w:rPr>
      </w:pPr>
    </w:p>
    <w:p w14:paraId="6BE5C024" w14:textId="401381E9" w:rsidR="003A7319" w:rsidRDefault="003A7319" w:rsidP="003A7319">
      <w:pPr>
        <w:spacing w:line="480" w:lineRule="auto"/>
        <w:rPr>
          <w:rFonts w:ascii="Arial" w:eastAsiaTheme="majorEastAsia" w:hAnsi="Arial" w:cs="Arial"/>
          <w:color w:val="000000" w:themeColor="text1"/>
          <w:szCs w:val="24"/>
        </w:rPr>
      </w:pPr>
    </w:p>
    <w:p w14:paraId="043C24F6" w14:textId="77777777" w:rsidR="003A7319" w:rsidRDefault="003A7319" w:rsidP="003A7319">
      <w:pPr>
        <w:spacing w:line="480" w:lineRule="auto"/>
        <w:rPr>
          <w:rFonts w:ascii="Arial" w:eastAsiaTheme="majorEastAsia" w:hAnsi="Arial" w:cs="Arial"/>
          <w:color w:val="000000" w:themeColor="text1"/>
          <w:szCs w:val="24"/>
        </w:rPr>
      </w:pPr>
    </w:p>
    <w:p w14:paraId="6B07BEE9" w14:textId="77777777" w:rsidR="003A7319" w:rsidRDefault="003A7319" w:rsidP="003A7319">
      <w:pPr>
        <w:spacing w:line="480" w:lineRule="auto"/>
        <w:rPr>
          <w:rFonts w:ascii="Arial" w:eastAsiaTheme="majorEastAsia" w:hAnsi="Arial" w:cs="Arial"/>
          <w:color w:val="000000" w:themeColor="text1"/>
          <w:szCs w:val="24"/>
        </w:rPr>
      </w:pPr>
    </w:p>
    <w:p w14:paraId="16365A00" w14:textId="77777777" w:rsidR="003A7319" w:rsidRDefault="003A7319" w:rsidP="003A7319">
      <w:pPr>
        <w:spacing w:line="480" w:lineRule="auto"/>
        <w:rPr>
          <w:rFonts w:ascii="Arial" w:eastAsiaTheme="majorEastAsia" w:hAnsi="Arial" w:cs="Arial"/>
          <w:color w:val="000000" w:themeColor="text1"/>
          <w:szCs w:val="24"/>
        </w:rPr>
      </w:pPr>
    </w:p>
    <w:p w14:paraId="0869EB20" w14:textId="77777777" w:rsidR="003A7319" w:rsidRDefault="003A7319" w:rsidP="003A7319">
      <w:pPr>
        <w:spacing w:line="480" w:lineRule="auto"/>
        <w:rPr>
          <w:rFonts w:ascii="Arial" w:eastAsiaTheme="majorEastAsia" w:hAnsi="Arial" w:cs="Arial"/>
          <w:color w:val="000000" w:themeColor="text1"/>
          <w:szCs w:val="24"/>
        </w:rPr>
      </w:pPr>
    </w:p>
    <w:p w14:paraId="2C7B36C8" w14:textId="77777777" w:rsidR="003A7319" w:rsidRDefault="003A7319" w:rsidP="003A7319">
      <w:pPr>
        <w:spacing w:line="480" w:lineRule="auto"/>
        <w:rPr>
          <w:rFonts w:ascii="Arial" w:eastAsiaTheme="majorEastAsia" w:hAnsi="Arial" w:cs="Arial"/>
          <w:color w:val="000000" w:themeColor="text1"/>
          <w:szCs w:val="24"/>
        </w:rPr>
      </w:pPr>
    </w:p>
    <w:p w14:paraId="00E03C0C" w14:textId="77777777" w:rsidR="003A7319" w:rsidRDefault="003A7319" w:rsidP="003A7319">
      <w:pPr>
        <w:spacing w:line="480" w:lineRule="auto"/>
        <w:rPr>
          <w:rFonts w:ascii="Arial" w:eastAsiaTheme="majorEastAsia" w:hAnsi="Arial" w:cs="Arial"/>
          <w:color w:val="000000" w:themeColor="text1"/>
          <w:szCs w:val="24"/>
        </w:rPr>
      </w:pPr>
    </w:p>
    <w:p w14:paraId="176C797F" w14:textId="77777777" w:rsidR="003A7319" w:rsidRDefault="003A7319" w:rsidP="003A7319">
      <w:pPr>
        <w:spacing w:line="480" w:lineRule="auto"/>
        <w:rPr>
          <w:rFonts w:ascii="Arial" w:eastAsiaTheme="majorEastAsia" w:hAnsi="Arial" w:cs="Arial"/>
          <w:color w:val="000000" w:themeColor="text1"/>
          <w:szCs w:val="24"/>
        </w:rPr>
      </w:pPr>
    </w:p>
    <w:p w14:paraId="6B3550FB" w14:textId="77777777" w:rsidR="003A7319" w:rsidRDefault="003A7319" w:rsidP="003A7319">
      <w:pPr>
        <w:spacing w:line="480" w:lineRule="auto"/>
        <w:rPr>
          <w:rFonts w:ascii="Arial" w:eastAsiaTheme="majorEastAsia" w:hAnsi="Arial" w:cs="Arial"/>
          <w:color w:val="000000" w:themeColor="text1"/>
          <w:szCs w:val="24"/>
        </w:rPr>
      </w:pPr>
    </w:p>
    <w:p w14:paraId="37EF49C4" w14:textId="77777777" w:rsidR="003A7319" w:rsidRDefault="003A7319" w:rsidP="003A7319">
      <w:pPr>
        <w:spacing w:line="480" w:lineRule="auto"/>
        <w:rPr>
          <w:rFonts w:ascii="Arial" w:eastAsiaTheme="majorEastAsia" w:hAnsi="Arial" w:cs="Arial"/>
          <w:color w:val="000000" w:themeColor="text1"/>
          <w:szCs w:val="24"/>
        </w:rPr>
      </w:pPr>
    </w:p>
    <w:p w14:paraId="46DA521A" w14:textId="77777777" w:rsidR="003A7319" w:rsidRDefault="003A7319" w:rsidP="003A7319">
      <w:pPr>
        <w:spacing w:line="480" w:lineRule="auto"/>
        <w:rPr>
          <w:rFonts w:ascii="Arial" w:eastAsiaTheme="majorEastAsia" w:hAnsi="Arial" w:cs="Arial"/>
          <w:color w:val="000000" w:themeColor="text1"/>
          <w:szCs w:val="24"/>
        </w:rPr>
      </w:pPr>
    </w:p>
    <w:p w14:paraId="6A4209C7" w14:textId="77777777" w:rsidR="003A7319" w:rsidRDefault="003A7319" w:rsidP="003A7319">
      <w:pPr>
        <w:spacing w:line="480" w:lineRule="auto"/>
        <w:rPr>
          <w:rFonts w:ascii="Arial" w:eastAsiaTheme="majorEastAsia" w:hAnsi="Arial" w:cs="Arial"/>
          <w:color w:val="000000" w:themeColor="text1"/>
          <w:szCs w:val="24"/>
        </w:rPr>
      </w:pPr>
    </w:p>
    <w:p w14:paraId="3561ADF9" w14:textId="77777777" w:rsidR="003A7319" w:rsidRPr="003A7319" w:rsidRDefault="003A7319" w:rsidP="003A7319">
      <w:pPr>
        <w:spacing w:line="480" w:lineRule="auto"/>
        <w:rPr>
          <w:rFonts w:ascii="Arial" w:eastAsiaTheme="majorEastAsia" w:hAnsi="Arial" w:cs="Arial"/>
          <w:color w:val="000000" w:themeColor="text1"/>
          <w:szCs w:val="24"/>
        </w:rPr>
      </w:pPr>
    </w:p>
    <w:p w14:paraId="20D791C6"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lastRenderedPageBreak/>
        <w:t>Methodology</w:t>
      </w:r>
    </w:p>
    <w:p w14:paraId="09001E18"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research paper will be qualitative in nature, whereby critical analysis of high-level theoretical concepts of accounting and their use in the current business practice will be undertaken. The qualitative design is deemed suitable because the study aims at </w:t>
      </w:r>
      <w:proofErr w:type="spellStart"/>
      <w:r w:rsidRPr="003A7319">
        <w:rPr>
          <w:rFonts w:ascii="Arial" w:eastAsiaTheme="majorEastAsia" w:hAnsi="Arial" w:cs="Arial"/>
          <w:color w:val="000000" w:themeColor="text1"/>
          <w:szCs w:val="24"/>
        </w:rPr>
        <w:t>analyzing</w:t>
      </w:r>
      <w:proofErr w:type="spellEnd"/>
      <w:r w:rsidRPr="003A7319">
        <w:rPr>
          <w:rFonts w:ascii="Arial" w:eastAsiaTheme="majorEastAsia" w:hAnsi="Arial" w:cs="Arial"/>
          <w:color w:val="000000" w:themeColor="text1"/>
          <w:szCs w:val="24"/>
        </w:rPr>
        <w:t xml:space="preserve"> preceding theories, frames, and practices instead of gathering numerical data. The research will majorly focus on secondary data gathered in form of peer review journal articles, academic </w:t>
      </w:r>
      <w:proofErr w:type="gramStart"/>
      <w:r w:rsidRPr="003A7319">
        <w:rPr>
          <w:rFonts w:ascii="Arial" w:eastAsiaTheme="majorEastAsia" w:hAnsi="Arial" w:cs="Arial"/>
          <w:color w:val="000000" w:themeColor="text1"/>
          <w:szCs w:val="24"/>
        </w:rPr>
        <w:t>text books</w:t>
      </w:r>
      <w:proofErr w:type="gramEnd"/>
      <w:r w:rsidRPr="003A7319">
        <w:rPr>
          <w:rFonts w:ascii="Arial" w:eastAsiaTheme="majorEastAsia" w:hAnsi="Arial" w:cs="Arial"/>
          <w:color w:val="000000" w:themeColor="text1"/>
          <w:szCs w:val="24"/>
        </w:rPr>
        <w:t xml:space="preserve"> and official accounting standard set by regulators like the International Accounting Standards Board (IASB) and the Financial Accounting Standards Board (FASB).</w:t>
      </w:r>
    </w:p>
    <w:p w14:paraId="648F24EE"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study is based on a methodological literature review process to determine, judge, and integrate academic contributions of relevancy in major accounting concepts. The sources were chosen according to the relevance, credibility and contribution towards accounting theory and practice. To find scholarly articles, databases, including Google Scholar, JSTOR, and ScienceDirect, were accessed, and recent articles were prioritized to include the current views. Classic literature was also added to give background knowledge and theoretical background. Some of the keywords employed during search encompassed: accounting equation evolution, IFRS versus GAAP, corporate governance in accounting, fair value accounting and </w:t>
      </w:r>
      <w:proofErr w:type="gramStart"/>
      <w:r w:rsidRPr="003A7319">
        <w:rPr>
          <w:rFonts w:ascii="Arial" w:eastAsiaTheme="majorEastAsia" w:hAnsi="Arial" w:cs="Arial"/>
          <w:color w:val="000000" w:themeColor="text1"/>
          <w:szCs w:val="24"/>
        </w:rPr>
        <w:t>off balance</w:t>
      </w:r>
      <w:proofErr w:type="gramEnd"/>
      <w:r w:rsidRPr="003A7319">
        <w:rPr>
          <w:rFonts w:ascii="Arial" w:eastAsiaTheme="majorEastAsia" w:hAnsi="Arial" w:cs="Arial"/>
          <w:color w:val="000000" w:themeColor="text1"/>
          <w:szCs w:val="24"/>
        </w:rPr>
        <w:t xml:space="preserve"> sheet financing.</w:t>
      </w:r>
    </w:p>
    <w:p w14:paraId="6288B0BA"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study uses critical analysis framework to provide reliability and validity. This entails the comparison of various perspectives that have been depicted in the literature, finding out of similarities and differences, and </w:t>
      </w:r>
      <w:proofErr w:type="spellStart"/>
      <w:r w:rsidRPr="003A7319">
        <w:rPr>
          <w:rFonts w:ascii="Arial" w:eastAsiaTheme="majorEastAsia" w:hAnsi="Arial" w:cs="Arial"/>
          <w:color w:val="000000" w:themeColor="text1"/>
          <w:szCs w:val="24"/>
        </w:rPr>
        <w:t>analyzing</w:t>
      </w:r>
      <w:proofErr w:type="spellEnd"/>
      <w:r w:rsidRPr="003A7319">
        <w:rPr>
          <w:rFonts w:ascii="Arial" w:eastAsiaTheme="majorEastAsia" w:hAnsi="Arial" w:cs="Arial"/>
          <w:color w:val="000000" w:themeColor="text1"/>
          <w:szCs w:val="24"/>
        </w:rPr>
        <w:t xml:space="preserve"> the consequences of different accounting practices. IFRS and GAAP are </w:t>
      </w:r>
      <w:proofErr w:type="gramStart"/>
      <w:r w:rsidRPr="003A7319">
        <w:rPr>
          <w:rFonts w:ascii="Arial" w:eastAsiaTheme="majorEastAsia" w:hAnsi="Arial" w:cs="Arial"/>
          <w:color w:val="000000" w:themeColor="text1"/>
          <w:szCs w:val="24"/>
        </w:rPr>
        <w:t>compared and contrasted</w:t>
      </w:r>
      <w:proofErr w:type="gramEnd"/>
      <w:r w:rsidRPr="003A7319">
        <w:rPr>
          <w:rFonts w:ascii="Arial" w:eastAsiaTheme="majorEastAsia" w:hAnsi="Arial" w:cs="Arial"/>
          <w:color w:val="000000" w:themeColor="text1"/>
          <w:szCs w:val="24"/>
        </w:rPr>
        <w:t xml:space="preserve"> based on concept frameworks, application principles, and reported effects to the quality of financial </w:t>
      </w:r>
      <w:r w:rsidRPr="003A7319">
        <w:rPr>
          <w:rFonts w:ascii="Arial" w:eastAsiaTheme="majorEastAsia" w:hAnsi="Arial" w:cs="Arial"/>
          <w:color w:val="000000" w:themeColor="text1"/>
          <w:szCs w:val="24"/>
        </w:rPr>
        <w:lastRenderedPageBreak/>
        <w:t>reporting. Correspondingly, the importance of the corporate governance is evaluated based on the consideration of the academic deliberations on the transparency, accountability, and the ethical practices.</w:t>
      </w:r>
    </w:p>
    <w:p w14:paraId="30F0A97C"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A conceptual analysis of financial statements is also included in the methodology with reference to the relationship of balance sheet, income statement and cash flow statement. This is done through synthesizing theoretical descriptions and real-life examples that are already found in literature. Moreover, developed accounting concepts like fair value measurement, asset impairment, and off-balance-sheet financing are reviewed in the light of case study evidence based on the previous </w:t>
      </w:r>
      <w:proofErr w:type="gramStart"/>
      <w:r w:rsidRPr="003A7319">
        <w:rPr>
          <w:rFonts w:ascii="Arial" w:eastAsiaTheme="majorEastAsia" w:hAnsi="Arial" w:cs="Arial"/>
          <w:color w:val="000000" w:themeColor="text1"/>
          <w:szCs w:val="24"/>
        </w:rPr>
        <w:t>researches</w:t>
      </w:r>
      <w:proofErr w:type="gramEnd"/>
      <w:r w:rsidRPr="003A7319">
        <w:rPr>
          <w:rFonts w:ascii="Arial" w:eastAsiaTheme="majorEastAsia" w:hAnsi="Arial" w:cs="Arial"/>
          <w:color w:val="000000" w:themeColor="text1"/>
          <w:szCs w:val="24"/>
        </w:rPr>
        <w:t xml:space="preserve"> and </w:t>
      </w:r>
      <w:proofErr w:type="gramStart"/>
      <w:r w:rsidRPr="003A7319">
        <w:rPr>
          <w:rFonts w:ascii="Arial" w:eastAsiaTheme="majorEastAsia" w:hAnsi="Arial" w:cs="Arial"/>
          <w:color w:val="000000" w:themeColor="text1"/>
          <w:szCs w:val="24"/>
        </w:rPr>
        <w:t>real world</w:t>
      </w:r>
      <w:proofErr w:type="gramEnd"/>
      <w:r w:rsidRPr="003A7319">
        <w:rPr>
          <w:rFonts w:ascii="Arial" w:eastAsiaTheme="majorEastAsia" w:hAnsi="Arial" w:cs="Arial"/>
          <w:color w:val="000000" w:themeColor="text1"/>
          <w:szCs w:val="24"/>
        </w:rPr>
        <w:t xml:space="preserve"> business situations.</w:t>
      </w:r>
    </w:p>
    <w:p w14:paraId="1BA2D2B1"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weakness of this methodology is that this methodology depends on secondary data, which can be subjected to biased information in the original studies. Moreover, the findings cannot be empirical because the primary data collection was not carried out. Nevertheless, this weakness is overcome by incorporating </w:t>
      </w:r>
      <w:proofErr w:type="gramStart"/>
      <w:r w:rsidRPr="003A7319">
        <w:rPr>
          <w:rFonts w:ascii="Arial" w:eastAsiaTheme="majorEastAsia" w:hAnsi="Arial" w:cs="Arial"/>
          <w:color w:val="000000" w:themeColor="text1"/>
          <w:szCs w:val="24"/>
        </w:rPr>
        <w:t>a large number of</w:t>
      </w:r>
      <w:proofErr w:type="gramEnd"/>
      <w:r w:rsidRPr="003A7319">
        <w:rPr>
          <w:rFonts w:ascii="Arial" w:eastAsiaTheme="majorEastAsia" w:hAnsi="Arial" w:cs="Arial"/>
          <w:color w:val="000000" w:themeColor="text1"/>
          <w:szCs w:val="24"/>
        </w:rPr>
        <w:t xml:space="preserve"> reliable and peer-reviewed materials </w:t>
      </w:r>
      <w:proofErr w:type="gramStart"/>
      <w:r w:rsidRPr="003A7319">
        <w:rPr>
          <w:rFonts w:ascii="Arial" w:eastAsiaTheme="majorEastAsia" w:hAnsi="Arial" w:cs="Arial"/>
          <w:color w:val="000000" w:themeColor="text1"/>
          <w:szCs w:val="24"/>
        </w:rPr>
        <w:t>in order to</w:t>
      </w:r>
      <w:proofErr w:type="gramEnd"/>
      <w:r w:rsidRPr="003A7319">
        <w:rPr>
          <w:rFonts w:ascii="Arial" w:eastAsiaTheme="majorEastAsia" w:hAnsi="Arial" w:cs="Arial"/>
          <w:color w:val="000000" w:themeColor="text1"/>
          <w:szCs w:val="24"/>
        </w:rPr>
        <w:t xml:space="preserve"> make analysis balanced and all-inclusive.</w:t>
      </w:r>
    </w:p>
    <w:p w14:paraId="50797F35"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Generally, this methodology offers a systematic and organized way to examine advanced accounting concepts to be able to critique their theoretical basis and practical use in the contemporary business contexts.</w:t>
      </w:r>
    </w:p>
    <w:p w14:paraId="6011E2DA" w14:textId="77777777" w:rsidR="003A7319" w:rsidRPr="003A7319" w:rsidRDefault="003A7319" w:rsidP="003A7319">
      <w:pPr>
        <w:spacing w:line="480" w:lineRule="auto"/>
        <w:rPr>
          <w:rFonts w:ascii="Arial" w:eastAsiaTheme="majorEastAsia" w:hAnsi="Arial" w:cs="Arial"/>
          <w:color w:val="000000" w:themeColor="text1"/>
          <w:szCs w:val="24"/>
        </w:rPr>
      </w:pPr>
    </w:p>
    <w:p w14:paraId="2938B3CB" w14:textId="77777777" w:rsidR="003A7319" w:rsidRPr="003A7319" w:rsidRDefault="003A7319" w:rsidP="003A7319">
      <w:pPr>
        <w:spacing w:line="480" w:lineRule="auto"/>
        <w:rPr>
          <w:rFonts w:ascii="Arial" w:eastAsiaTheme="majorEastAsia" w:hAnsi="Arial" w:cs="Arial"/>
          <w:color w:val="000000" w:themeColor="text1"/>
          <w:szCs w:val="24"/>
        </w:rPr>
      </w:pPr>
    </w:p>
    <w:p w14:paraId="06A9F1CD" w14:textId="77777777" w:rsidR="003A7319" w:rsidRPr="003A7319" w:rsidRDefault="003A7319" w:rsidP="003A7319">
      <w:pPr>
        <w:spacing w:line="480" w:lineRule="auto"/>
        <w:rPr>
          <w:rFonts w:ascii="Arial" w:eastAsiaTheme="majorEastAsia" w:hAnsi="Arial" w:cs="Arial"/>
          <w:color w:val="000000" w:themeColor="text1"/>
          <w:szCs w:val="24"/>
        </w:rPr>
      </w:pPr>
    </w:p>
    <w:p w14:paraId="40ADEC10"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lastRenderedPageBreak/>
        <w:t>Findings</w:t>
      </w:r>
    </w:p>
    <w:p w14:paraId="6B45EA31"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review of the literature reveals that accounting has experienced tremendous changes to suit the dynamics of new business settings. Among the key discoveries is the fact that the traditional accounting equation is still </w:t>
      </w:r>
      <w:proofErr w:type="gramStart"/>
      <w:r w:rsidRPr="003A7319">
        <w:rPr>
          <w:rFonts w:ascii="Arial" w:eastAsiaTheme="majorEastAsia" w:hAnsi="Arial" w:cs="Arial"/>
          <w:color w:val="000000" w:themeColor="text1"/>
          <w:szCs w:val="24"/>
        </w:rPr>
        <w:t>critical</w:t>
      </w:r>
      <w:proofErr w:type="gramEnd"/>
      <w:r w:rsidRPr="003A7319">
        <w:rPr>
          <w:rFonts w:ascii="Arial" w:eastAsiaTheme="majorEastAsia" w:hAnsi="Arial" w:cs="Arial"/>
          <w:color w:val="000000" w:themeColor="text1"/>
          <w:szCs w:val="24"/>
        </w:rPr>
        <w:t xml:space="preserve"> but its usage has taken a new form to facilitate intricate financial products as well as international dealings. Even though the equation (Assets = Liabilities + Owner Equity) is still used to frame the financial reporting, it is now interpreted with the addition of fair value adjustments, contingent liabilities, and intangible assets, which represent a </w:t>
      </w:r>
      <w:proofErr w:type="gramStart"/>
      <w:r w:rsidRPr="003A7319">
        <w:rPr>
          <w:rFonts w:ascii="Arial" w:eastAsiaTheme="majorEastAsia" w:hAnsi="Arial" w:cs="Arial"/>
          <w:color w:val="000000" w:themeColor="text1"/>
          <w:szCs w:val="24"/>
        </w:rPr>
        <w:t>more dynamic and broad</w:t>
      </w:r>
      <w:proofErr w:type="gramEnd"/>
      <w:r w:rsidRPr="003A7319">
        <w:rPr>
          <w:rFonts w:ascii="Arial" w:eastAsiaTheme="majorEastAsia" w:hAnsi="Arial" w:cs="Arial"/>
          <w:color w:val="000000" w:themeColor="text1"/>
          <w:szCs w:val="24"/>
        </w:rPr>
        <w:t xml:space="preserve"> concept of the financial position (</w:t>
      </w:r>
      <w:proofErr w:type="spellStart"/>
      <w:r w:rsidRPr="003A7319">
        <w:rPr>
          <w:rFonts w:ascii="Arial" w:eastAsiaTheme="majorEastAsia" w:hAnsi="Arial" w:cs="Arial"/>
          <w:color w:val="000000" w:themeColor="text1"/>
          <w:szCs w:val="24"/>
        </w:rPr>
        <w:t>Kieso</w:t>
      </w:r>
      <w:proofErr w:type="spellEnd"/>
      <w:r w:rsidRPr="003A7319">
        <w:rPr>
          <w:rFonts w:ascii="Arial" w:eastAsiaTheme="majorEastAsia" w:hAnsi="Arial" w:cs="Arial"/>
          <w:color w:val="000000" w:themeColor="text1"/>
          <w:szCs w:val="24"/>
        </w:rPr>
        <w:t xml:space="preserve"> et al., 2020).</w:t>
      </w:r>
    </w:p>
    <w:p w14:paraId="74364578"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One of the major conclusions of this research is the increasing popularization of International Financial Reporting Standards (IFRS) in international accounting. The adoption of IFRS has enhanced comparability and transparency in the international markets and as such, investors and other stakeholders can easily </w:t>
      </w:r>
      <w:proofErr w:type="spellStart"/>
      <w:r w:rsidRPr="003A7319">
        <w:rPr>
          <w:rFonts w:ascii="Arial" w:eastAsiaTheme="majorEastAsia" w:hAnsi="Arial" w:cs="Arial"/>
          <w:color w:val="000000" w:themeColor="text1"/>
          <w:szCs w:val="24"/>
        </w:rPr>
        <w:t>analyze</w:t>
      </w:r>
      <w:proofErr w:type="spellEnd"/>
      <w:r w:rsidRPr="003A7319">
        <w:rPr>
          <w:rFonts w:ascii="Arial" w:eastAsiaTheme="majorEastAsia" w:hAnsi="Arial" w:cs="Arial"/>
          <w:color w:val="000000" w:themeColor="text1"/>
          <w:szCs w:val="24"/>
        </w:rPr>
        <w:t xml:space="preserve"> the financial statements of different jurisdictions. There is empirical research evidence indicating that firms using IFRS have better quality of accounting and lower information asymmetry (Barth et al., 2012). Nonetheless, the results also indicate that the principles-based approach of IFRS may create subjectivity and create differences in the interpretation and may cause inconsistencies in financial reporting (Soderstrom and Sun, 2007). Conversely, the rules-based structure of GAAP offers more detailed guidance which can minimize ambiguity but can also restrict the ability to respond to specific financial situations.</w:t>
      </w:r>
    </w:p>
    <w:p w14:paraId="61140D8B"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research also concludes that corporate governance is a very vital factor in making accounting information reliable and sound. Good governance frameworks including </w:t>
      </w:r>
      <w:r w:rsidRPr="003A7319">
        <w:rPr>
          <w:rFonts w:ascii="Arial" w:eastAsiaTheme="majorEastAsia" w:hAnsi="Arial" w:cs="Arial"/>
          <w:color w:val="000000" w:themeColor="text1"/>
          <w:szCs w:val="24"/>
        </w:rPr>
        <w:lastRenderedPageBreak/>
        <w:t>independent audit committees and well-established internal controls also help a great deal to limit the risk of financial misreporting and cheating. Studies have shown that companies that have well-established governance frameworks have greater chances of generating clean and quality financial statements (Bushman and Smith, 2001). Moreover, governing structures aid in the synchronization of the interests of both the management and shareholders, thus reducing the agency issues and increasing accountability.</w:t>
      </w:r>
    </w:p>
    <w:p w14:paraId="59587E90"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other relevant discovery is that financial statements are interrelated, and their joint use in the evaluation of financial health is important. The balance sheet, income statement, and cash flow are </w:t>
      </w:r>
      <w:proofErr w:type="gramStart"/>
      <w:r w:rsidRPr="003A7319">
        <w:rPr>
          <w:rFonts w:ascii="Arial" w:eastAsiaTheme="majorEastAsia" w:hAnsi="Arial" w:cs="Arial"/>
          <w:color w:val="000000" w:themeColor="text1"/>
          <w:szCs w:val="24"/>
        </w:rPr>
        <w:t>interrelated</w:t>
      </w:r>
      <w:proofErr w:type="gramEnd"/>
      <w:r w:rsidRPr="003A7319">
        <w:rPr>
          <w:rFonts w:ascii="Arial" w:eastAsiaTheme="majorEastAsia" w:hAnsi="Arial" w:cs="Arial"/>
          <w:color w:val="000000" w:themeColor="text1"/>
          <w:szCs w:val="24"/>
        </w:rPr>
        <w:t xml:space="preserve"> and integration of these three statements gives a holistic view of an organization performance. To illustrate, net income as an income statement directly determines the retained earnings in the balance sheet and cash flow statements here show the liquidity of the operating, investing, and financing activities. It is through this interconnectedness that the stakeholders make more informed decisions by evaluating the profitability as well as cash flow sustainability (Penman, 2007).</w:t>
      </w:r>
    </w:p>
    <w:p w14:paraId="32FC37D3"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research also indicates that integrated accounting concepts especially fair value accounting have played an even greater role in the contemporary financial reporting. Fair value measurement improves the relevance of financial information because it records the prevailing market conditions. This is particularly critical on financial instruments where the economic value may not be reflected through the historical cost. It has been however found that fair value accounting may inject volatility and subjectivity especially in illiquid markets where market prices cannot be easily observed (Laux &amp; </w:t>
      </w:r>
      <w:proofErr w:type="spellStart"/>
      <w:r w:rsidRPr="003A7319">
        <w:rPr>
          <w:rFonts w:ascii="Arial" w:eastAsiaTheme="majorEastAsia" w:hAnsi="Arial" w:cs="Arial"/>
          <w:color w:val="000000" w:themeColor="text1"/>
          <w:szCs w:val="24"/>
        </w:rPr>
        <w:lastRenderedPageBreak/>
        <w:t>Leuz</w:t>
      </w:r>
      <w:proofErr w:type="spellEnd"/>
      <w:r w:rsidRPr="003A7319">
        <w:rPr>
          <w:rFonts w:ascii="Arial" w:eastAsiaTheme="majorEastAsia" w:hAnsi="Arial" w:cs="Arial"/>
          <w:color w:val="000000" w:themeColor="text1"/>
          <w:szCs w:val="24"/>
        </w:rPr>
        <w:t>, 2009). This makes life difficult to the preparers and users of financial statements because estimates can differ according to assumptions and valuation methods.</w:t>
      </w:r>
    </w:p>
    <w:p w14:paraId="10F66782"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Another different area that yields important insights is asset impairment. Impairment accounting requires the reporting of assets at recoverable amounts hence enhancing the accuracy and reliability of financial statements. The findings however indicate that impairment testing is usually subject to managerial judgment which can be affected by incentives to manipulate earnings. Research indicates that managers can slow down or speed up impairment recognition </w:t>
      </w:r>
      <w:proofErr w:type="gramStart"/>
      <w:r w:rsidRPr="003A7319">
        <w:rPr>
          <w:rFonts w:ascii="Arial" w:eastAsiaTheme="majorEastAsia" w:hAnsi="Arial" w:cs="Arial"/>
          <w:color w:val="000000" w:themeColor="text1"/>
          <w:szCs w:val="24"/>
        </w:rPr>
        <w:t>in an attempt to</w:t>
      </w:r>
      <w:proofErr w:type="gramEnd"/>
      <w:r w:rsidRPr="003A7319">
        <w:rPr>
          <w:rFonts w:ascii="Arial" w:eastAsiaTheme="majorEastAsia" w:hAnsi="Arial" w:cs="Arial"/>
          <w:color w:val="000000" w:themeColor="text1"/>
          <w:szCs w:val="24"/>
        </w:rPr>
        <w:t xml:space="preserve"> realize preferred financial performance, which underscores the significance of regulation and auditing (</w:t>
      </w:r>
      <w:proofErr w:type="spellStart"/>
      <w:r w:rsidRPr="003A7319">
        <w:rPr>
          <w:rFonts w:ascii="Arial" w:eastAsiaTheme="majorEastAsia" w:hAnsi="Arial" w:cs="Arial"/>
          <w:color w:val="000000" w:themeColor="text1"/>
          <w:szCs w:val="24"/>
        </w:rPr>
        <w:t>Ramanna</w:t>
      </w:r>
      <w:proofErr w:type="spellEnd"/>
      <w:r w:rsidRPr="003A7319">
        <w:rPr>
          <w:rFonts w:ascii="Arial" w:eastAsiaTheme="majorEastAsia" w:hAnsi="Arial" w:cs="Arial"/>
          <w:color w:val="000000" w:themeColor="text1"/>
          <w:szCs w:val="24"/>
        </w:rPr>
        <w:t xml:space="preserve"> and Watts, 2012).</w:t>
      </w:r>
    </w:p>
    <w:p w14:paraId="57ED8F23"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Off-balance-sheet financing is recognized as one of the critical problems in transparency of finances. The results show that off-balance-sheet arrangements have been historically employed by companies to hide liabilities and enhance financial ratios, thus depicting a better financial image. The Enron scandal is an excellent example of how these practices may cause major financial misrepresentation and investor loss (Healy and Palepu, 2003). In reaction, regulatory authorities have proposed more stringent requirements, including the IFRS 16 which mandates more disclosure and recognition of previously concealed liabilities. Through these reforms, transparency has been enhanced, though it is still difficult to capture complicated financial structures in a complete manner.</w:t>
      </w:r>
    </w:p>
    <w:p w14:paraId="4F99124C"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findings also note that the accounting practices have been greatly affected by the globalization. With the growing integration of the world markets, there has been the need to harmonize the accounting standards to enable cross-border investment and </w:t>
      </w:r>
      <w:r w:rsidRPr="003A7319">
        <w:rPr>
          <w:rFonts w:ascii="Arial" w:eastAsiaTheme="majorEastAsia" w:hAnsi="Arial" w:cs="Arial"/>
          <w:color w:val="000000" w:themeColor="text1"/>
          <w:szCs w:val="24"/>
        </w:rPr>
        <w:lastRenderedPageBreak/>
        <w:t>economic collaboration. IFRS has been at the centre of this process, but there are still differences between national standards. Convergence initiatives between the IFRS and GAAP are evidence of the continued endeavours to develop a global accounting standard, albeit the fact that full standardisation is a problem because of the regulatory, cultural and economic conditions.</w:t>
      </w:r>
    </w:p>
    <w:p w14:paraId="3E5FCC9E"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All in all, the results show that relevance and reliability are the two factors that define modern accounting practices. Although more sophisticated methods like fair value accounting and international standards allow making financial information more useful, they make it complicated and demand closely considered judgment. Successful corporate governance, enforcement of regulations, and ethical standards are important in ensuring the effectiveness of these practices. All these are elements that are ensuring accounting remains in its original role of giving accurate, transparency and decision-useful information to the stakeholders.</w:t>
      </w:r>
    </w:p>
    <w:p w14:paraId="7C39AF86"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Discussion</w:t>
      </w:r>
    </w:p>
    <w:p w14:paraId="4C0F979F"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This study results reveal the dynamicity of accounting which keeps on changing with the globalization, financial innovation and rising stakeholder expectations. When the traditional accounting principles are transformed into the more sophisticated and adaptable frameworks, it shows that the discipline has the capacity to adjust to the complex business environment. The discussion presents a critical evaluation of these findings as compared to existing literature </w:t>
      </w:r>
      <w:proofErr w:type="gramStart"/>
      <w:r w:rsidRPr="003A7319">
        <w:rPr>
          <w:rFonts w:ascii="Arial" w:eastAsiaTheme="majorEastAsia" w:hAnsi="Arial" w:cs="Arial"/>
          <w:color w:val="000000" w:themeColor="text1"/>
          <w:szCs w:val="24"/>
        </w:rPr>
        <w:t>and also</w:t>
      </w:r>
      <w:proofErr w:type="gramEnd"/>
      <w:r w:rsidRPr="003A7319">
        <w:rPr>
          <w:rFonts w:ascii="Arial" w:eastAsiaTheme="majorEastAsia" w:hAnsi="Arial" w:cs="Arial"/>
          <w:color w:val="000000" w:themeColor="text1"/>
          <w:szCs w:val="24"/>
        </w:rPr>
        <w:t xml:space="preserve"> discusses the implications of these findings on a wider picture of accounting theory and practice.</w:t>
      </w:r>
    </w:p>
    <w:p w14:paraId="0D3896FE"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lastRenderedPageBreak/>
        <w:t xml:space="preserve">Among the major themes that can be identified based on the results is the persistence of the accounting equation as the basis of financial reporting. The equation in its simple form has stayed the same, but its use has greatly grown to include more aspects of modern finances including intangible assets, derivatives, and contingent liability. This development should be compared with the discussion of </w:t>
      </w:r>
      <w:proofErr w:type="spellStart"/>
      <w:r w:rsidRPr="003A7319">
        <w:rPr>
          <w:rFonts w:ascii="Arial" w:eastAsiaTheme="majorEastAsia" w:hAnsi="Arial" w:cs="Arial"/>
          <w:color w:val="000000" w:themeColor="text1"/>
          <w:szCs w:val="24"/>
        </w:rPr>
        <w:t>Kieso</w:t>
      </w:r>
      <w:proofErr w:type="spellEnd"/>
      <w:r w:rsidRPr="003A7319">
        <w:rPr>
          <w:rFonts w:ascii="Arial" w:eastAsiaTheme="majorEastAsia" w:hAnsi="Arial" w:cs="Arial"/>
          <w:color w:val="000000" w:themeColor="text1"/>
          <w:szCs w:val="24"/>
        </w:rPr>
        <w:t xml:space="preserve"> et al. (2020), who state that accounting structures need to be restructured to capture economic reality better. Nevertheless, the growing complexity of these adjustments brings up issues of understandability to any user of financial statements, especially that of the non-experts. This implies that there is a necessity of striking a balance between technical accuracy and clarity of financial reporting.</w:t>
      </w:r>
    </w:p>
    <w:p w14:paraId="4F0534C9"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IFRS and GAAP discussion displays significant points on the current debate between the principles-based and the rules-based accounting systems. The results are consistent with previous studies that claim that IFRS helps to increase comparability and transparency in global markets (Barth et al., 2012). It is especially significant in an economy that is globalized and in which investors tend to compare companies of more than one jurisdiction. But the subjectivity brought by the flexibility of IFRS also comes with its downside, that it can result in inconsistencies in application. According to Soderstrom and Sun (2007), it is contended that enforcement mechanisms and institutional structures are critical to the effectiveness of IFRS. By contrast, rules-based approach in GAAP gives more specific guidance, which minimizes ambiguity but may limit the possibility of reflecting the economic substance of transactions. It means that </w:t>
      </w:r>
      <w:proofErr w:type="gramStart"/>
      <w:r w:rsidRPr="003A7319">
        <w:rPr>
          <w:rFonts w:ascii="Arial" w:eastAsiaTheme="majorEastAsia" w:hAnsi="Arial" w:cs="Arial"/>
          <w:color w:val="000000" w:themeColor="text1"/>
          <w:szCs w:val="24"/>
        </w:rPr>
        <w:t>both of the systems</w:t>
      </w:r>
      <w:proofErr w:type="gramEnd"/>
      <w:r w:rsidRPr="003A7319">
        <w:rPr>
          <w:rFonts w:ascii="Arial" w:eastAsiaTheme="majorEastAsia" w:hAnsi="Arial" w:cs="Arial"/>
          <w:color w:val="000000" w:themeColor="text1"/>
          <w:szCs w:val="24"/>
        </w:rPr>
        <w:t xml:space="preserve"> are not the best in their own right; instead, their efficiency is contingent upon the context within which they are used.</w:t>
      </w:r>
    </w:p>
    <w:p w14:paraId="15C6EACC"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lastRenderedPageBreak/>
        <w:t xml:space="preserve">Corporate governance becomes an important issue in determining the quality and reliability of accounting information. The results support the perspective that well-organized governance systems can promote transparency and eliminate the chances of financial misreporting. According to Bushman and Smith (2001), financial accounting systems are important in checking the </w:t>
      </w:r>
      <w:proofErr w:type="spellStart"/>
      <w:r w:rsidRPr="003A7319">
        <w:rPr>
          <w:rFonts w:ascii="Arial" w:eastAsiaTheme="majorEastAsia" w:hAnsi="Arial" w:cs="Arial"/>
          <w:color w:val="000000" w:themeColor="text1"/>
          <w:szCs w:val="24"/>
        </w:rPr>
        <w:t>behavior</w:t>
      </w:r>
      <w:proofErr w:type="spellEnd"/>
      <w:r w:rsidRPr="003A7319">
        <w:rPr>
          <w:rFonts w:ascii="Arial" w:eastAsiaTheme="majorEastAsia" w:hAnsi="Arial" w:cs="Arial"/>
          <w:color w:val="000000" w:themeColor="text1"/>
          <w:szCs w:val="24"/>
        </w:rPr>
        <w:t xml:space="preserve"> of managers and harmonizing it with shareholder interests. It is also argued in the discussion that mechanisms of governance including independent audits and regulation are critical in reducing risks of subjective accounting practices. Even properly structured accounting standards </w:t>
      </w:r>
      <w:proofErr w:type="spellStart"/>
      <w:r w:rsidRPr="003A7319">
        <w:rPr>
          <w:rFonts w:ascii="Arial" w:eastAsiaTheme="majorEastAsia" w:hAnsi="Arial" w:cs="Arial"/>
          <w:color w:val="000000" w:themeColor="text1"/>
          <w:szCs w:val="24"/>
        </w:rPr>
        <w:t>can not</w:t>
      </w:r>
      <w:proofErr w:type="spellEnd"/>
      <w:r w:rsidRPr="003A7319">
        <w:rPr>
          <w:rFonts w:ascii="Arial" w:eastAsiaTheme="majorEastAsia" w:hAnsi="Arial" w:cs="Arial"/>
          <w:color w:val="000000" w:themeColor="text1"/>
          <w:szCs w:val="24"/>
        </w:rPr>
        <w:t xml:space="preserve"> work unless there is good governance. This highlights the interdependence between accounting systems and governance systems.</w:t>
      </w:r>
    </w:p>
    <w:p w14:paraId="0B2A5D8B"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Another important area of concern in the findings is that of the interrelationship between financial statements. Combining the balance sheet, income statement and the cash flow statement gives a holistic view of what has been accomplished and the position of an organization in terms of its financial performance. According to Penman (2007), an examination of these statements </w:t>
      </w:r>
      <w:proofErr w:type="gramStart"/>
      <w:r w:rsidRPr="003A7319">
        <w:rPr>
          <w:rFonts w:ascii="Arial" w:eastAsiaTheme="majorEastAsia" w:hAnsi="Arial" w:cs="Arial"/>
          <w:color w:val="000000" w:themeColor="text1"/>
          <w:szCs w:val="24"/>
        </w:rPr>
        <w:t>as a whole can</w:t>
      </w:r>
      <w:proofErr w:type="gramEnd"/>
      <w:r w:rsidRPr="003A7319">
        <w:rPr>
          <w:rFonts w:ascii="Arial" w:eastAsiaTheme="majorEastAsia" w:hAnsi="Arial" w:cs="Arial"/>
          <w:color w:val="000000" w:themeColor="text1"/>
          <w:szCs w:val="24"/>
        </w:rPr>
        <w:t xml:space="preserve"> allow making more valid evaluations of firm value and future performance. Such an interrelated approach, the discussion explains, is especially relevant in contemporary accounting, where intricate transactions usually possess multiple financial consequences. Nevertheless, such a growing sophistication of financial statements can be problematic to users, and it requires better disclosure practices and financial literacy.</w:t>
      </w:r>
    </w:p>
    <w:p w14:paraId="73535145"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Fair value accounting is one of the most controversial issues in modern accounting literature. The results reveal that fair value increases the relevance of financial information by showing the current market conditions. This is in line with argument that, </w:t>
      </w:r>
      <w:r w:rsidRPr="003A7319">
        <w:rPr>
          <w:rFonts w:ascii="Arial" w:eastAsiaTheme="majorEastAsia" w:hAnsi="Arial" w:cs="Arial"/>
          <w:color w:val="000000" w:themeColor="text1"/>
          <w:szCs w:val="24"/>
        </w:rPr>
        <w:lastRenderedPageBreak/>
        <w:t xml:space="preserve">decision-useful information must be timely and reflective of the economic reality (Penman, 2007). Critics, however, like Laux and </w:t>
      </w:r>
      <w:proofErr w:type="spellStart"/>
      <w:r w:rsidRPr="003A7319">
        <w:rPr>
          <w:rFonts w:ascii="Arial" w:eastAsiaTheme="majorEastAsia" w:hAnsi="Arial" w:cs="Arial"/>
          <w:color w:val="000000" w:themeColor="text1"/>
          <w:szCs w:val="24"/>
        </w:rPr>
        <w:t>Leuz</w:t>
      </w:r>
      <w:proofErr w:type="spellEnd"/>
      <w:r w:rsidRPr="003A7319">
        <w:rPr>
          <w:rFonts w:ascii="Arial" w:eastAsiaTheme="majorEastAsia" w:hAnsi="Arial" w:cs="Arial"/>
          <w:color w:val="000000" w:themeColor="text1"/>
          <w:szCs w:val="24"/>
        </w:rPr>
        <w:t xml:space="preserve"> (2009) have warned that the use of fair value accounting can cause volatility and subjectivity especially in illiquid markets where there are no reliable market prices. The trade-off between relevance and reliability is discussed, and it has been one of the primary issues in accounting. Although fair value presents more appropriate information, its credibility is conditional on the correctness of the methods and assumptions of valuation. This underscores the essence of strong valuation criteria and professional judgment.</w:t>
      </w:r>
    </w:p>
    <w:p w14:paraId="5E61B19C"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issue of impairment of assets also demonstrates the problem of subjective accounting practices. According to the findings, impairment testing enhances the accuracy in the valuation of assets but also offers the incentives to manage earnings. In the article, </w:t>
      </w:r>
      <w:proofErr w:type="spellStart"/>
      <w:r w:rsidRPr="003A7319">
        <w:rPr>
          <w:rFonts w:ascii="Arial" w:eastAsiaTheme="majorEastAsia" w:hAnsi="Arial" w:cs="Arial"/>
          <w:color w:val="000000" w:themeColor="text1"/>
          <w:szCs w:val="24"/>
        </w:rPr>
        <w:t>Ramanna</w:t>
      </w:r>
      <w:proofErr w:type="spellEnd"/>
      <w:r w:rsidRPr="003A7319">
        <w:rPr>
          <w:rFonts w:ascii="Arial" w:eastAsiaTheme="majorEastAsia" w:hAnsi="Arial" w:cs="Arial"/>
          <w:color w:val="000000" w:themeColor="text1"/>
          <w:szCs w:val="24"/>
        </w:rPr>
        <w:t xml:space="preserve"> and Watts (2012) mention that incentives may affect discretion by managers when making impairment decisions, which may result in biased reporting. This also poses significant ethical issues and brings to the fore the necessity of strict auditing and regulatory controls. It is argued in the discussion that transparency in disclosure of impairments and adherence to uniformity of application of standards are crucial in ensuring stakeholder confidence.</w:t>
      </w:r>
    </w:p>
    <w:p w14:paraId="64E79D17"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Another important problem that is discussed in this study is off-balance-sheet financing. The results prove that the practice could blur the actual financial status of a company, hence subjugating transparency. As it is described in a book by Healy and Palepu (2003), the Enron case is a warning example of what the lack of disclosure and regulatory controls may lead to. The emergence of standards like the IFRS 16 is an important move towards enhancing transparency since it obligates recognition of lease </w:t>
      </w:r>
      <w:r w:rsidRPr="003A7319">
        <w:rPr>
          <w:rFonts w:ascii="Arial" w:eastAsiaTheme="majorEastAsia" w:hAnsi="Arial" w:cs="Arial"/>
          <w:color w:val="000000" w:themeColor="text1"/>
          <w:szCs w:val="24"/>
        </w:rPr>
        <w:lastRenderedPageBreak/>
        <w:t xml:space="preserve">liability on the balance sheet. Nonetheless as discussed, it is possible that companies can still find a way of structuring transactions to produce similar results, meaning they </w:t>
      </w:r>
      <w:proofErr w:type="gramStart"/>
      <w:r w:rsidRPr="003A7319">
        <w:rPr>
          <w:rFonts w:ascii="Arial" w:eastAsiaTheme="majorEastAsia" w:hAnsi="Arial" w:cs="Arial"/>
          <w:color w:val="000000" w:themeColor="text1"/>
          <w:szCs w:val="24"/>
        </w:rPr>
        <w:t>have to</w:t>
      </w:r>
      <w:proofErr w:type="gramEnd"/>
      <w:r w:rsidRPr="003A7319">
        <w:rPr>
          <w:rFonts w:ascii="Arial" w:eastAsiaTheme="majorEastAsia" w:hAnsi="Arial" w:cs="Arial"/>
          <w:color w:val="000000" w:themeColor="text1"/>
          <w:szCs w:val="24"/>
        </w:rPr>
        <w:t xml:space="preserve"> monitor and revise regulations in real-time.</w:t>
      </w:r>
    </w:p>
    <w:p w14:paraId="24825905"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The adoption and accounting standards development have been greatly affected by globalization. The popularity of IFRS is indicative of the necessity of standard financial reporting language that would help in the cross-border investment and economic integration. The discussion however points out that full convergence between IFRS and GAAP has proved difficult to achieve owing to the variation in legal systems, culture and economic settings. This indicates that harmonization is good, but some level of diversity in accounting practices might be unavoidable.</w:t>
      </w:r>
    </w:p>
    <w:p w14:paraId="379DCA3E" w14:textId="77777777" w:rsidR="003A7319" w:rsidRPr="003A7319" w:rsidRDefault="003A7319" w:rsidP="003A7319">
      <w:pPr>
        <w:spacing w:line="480" w:lineRule="auto"/>
        <w:rPr>
          <w:rFonts w:ascii="Arial" w:eastAsiaTheme="majorEastAsia" w:hAnsi="Arial" w:cs="Arial"/>
          <w:color w:val="000000" w:themeColor="text1"/>
          <w:szCs w:val="24"/>
        </w:rPr>
      </w:pPr>
      <w:proofErr w:type="gramStart"/>
      <w:r w:rsidRPr="003A7319">
        <w:rPr>
          <w:rFonts w:ascii="Arial" w:eastAsiaTheme="majorEastAsia" w:hAnsi="Arial" w:cs="Arial"/>
          <w:color w:val="000000" w:themeColor="text1"/>
          <w:szCs w:val="24"/>
        </w:rPr>
        <w:t>On the whole</w:t>
      </w:r>
      <w:proofErr w:type="gramEnd"/>
      <w:r w:rsidRPr="003A7319">
        <w:rPr>
          <w:rFonts w:ascii="Arial" w:eastAsiaTheme="majorEastAsia" w:hAnsi="Arial" w:cs="Arial"/>
          <w:color w:val="000000" w:themeColor="text1"/>
          <w:szCs w:val="24"/>
        </w:rPr>
        <w:t xml:space="preserve">, the discussion highlights the complexity and changeability of current accounting. The availability of </w:t>
      </w:r>
      <w:proofErr w:type="gramStart"/>
      <w:r w:rsidRPr="003A7319">
        <w:rPr>
          <w:rFonts w:ascii="Arial" w:eastAsiaTheme="majorEastAsia" w:hAnsi="Arial" w:cs="Arial"/>
          <w:color w:val="000000" w:themeColor="text1"/>
          <w:szCs w:val="24"/>
        </w:rPr>
        <w:t>high level</w:t>
      </w:r>
      <w:proofErr w:type="gramEnd"/>
      <w:r w:rsidRPr="003A7319">
        <w:rPr>
          <w:rFonts w:ascii="Arial" w:eastAsiaTheme="majorEastAsia" w:hAnsi="Arial" w:cs="Arial"/>
          <w:color w:val="000000" w:themeColor="text1"/>
          <w:szCs w:val="24"/>
        </w:rPr>
        <w:t xml:space="preserve"> concepts and international standards has made financial information more relevant and useful, however it has brought several challenges in terms of reliability, consistency and ethical practices. The results imply that the quality of accounting systems is not only based on the design of the standards but also on the quality of the governance, enforcement of regulations, and professional judgment. The trend of accounting in the future would concern making it more transparent, more comparable, and solving the problems of technological changes and financial innovation.</w:t>
      </w:r>
    </w:p>
    <w:p w14:paraId="3B64738E"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To summarize the discussion, it is pointed out that accounting is not a fixed subject, but an ever-evolving subject that reacts to the shifting economic and social situations. Striking the right balance between relevance and reliability is a key issue and to ensure the balance is achieved, continual partnership between the standard-setters, regulators, </w:t>
      </w:r>
      <w:r w:rsidRPr="003A7319">
        <w:rPr>
          <w:rFonts w:ascii="Arial" w:eastAsiaTheme="majorEastAsia" w:hAnsi="Arial" w:cs="Arial"/>
          <w:color w:val="000000" w:themeColor="text1"/>
          <w:szCs w:val="24"/>
        </w:rPr>
        <w:lastRenderedPageBreak/>
        <w:t>and practitioners is intended. By overcoming these issues, accounting will be able to stay as an important tool to facilitate informed decision-making and fostering confidence in financial markets.</w:t>
      </w:r>
    </w:p>
    <w:p w14:paraId="17B1EFEC"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Conclusion</w:t>
      </w:r>
    </w:p>
    <w:p w14:paraId="204DE257"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This report has critically </w:t>
      </w:r>
      <w:proofErr w:type="spellStart"/>
      <w:r w:rsidRPr="003A7319">
        <w:rPr>
          <w:rFonts w:ascii="Arial" w:eastAsiaTheme="majorEastAsia" w:hAnsi="Arial" w:cs="Arial"/>
          <w:color w:val="000000" w:themeColor="text1"/>
          <w:szCs w:val="24"/>
        </w:rPr>
        <w:t>analyzed</w:t>
      </w:r>
      <w:proofErr w:type="spellEnd"/>
      <w:r w:rsidRPr="003A7319">
        <w:rPr>
          <w:rFonts w:ascii="Arial" w:eastAsiaTheme="majorEastAsia" w:hAnsi="Arial" w:cs="Arial"/>
          <w:color w:val="000000" w:themeColor="text1"/>
          <w:szCs w:val="24"/>
        </w:rPr>
        <w:t xml:space="preserve"> the advanced theoretical concepts of accounting and how they are applied in the contemporary business settings. The analysis shows that the accounting principles like the accounting equation have stayed the same, however they have changed in its interpretation and application with the growing complexity of finance and globalization. The contemporary accounting practices have also embraced new modern concepts like fair value measurement, asset impairment and </w:t>
      </w:r>
      <w:proofErr w:type="gramStart"/>
      <w:r w:rsidRPr="003A7319">
        <w:rPr>
          <w:rFonts w:ascii="Arial" w:eastAsiaTheme="majorEastAsia" w:hAnsi="Arial" w:cs="Arial"/>
          <w:color w:val="000000" w:themeColor="text1"/>
          <w:szCs w:val="24"/>
        </w:rPr>
        <w:t>off balance</w:t>
      </w:r>
      <w:proofErr w:type="gramEnd"/>
      <w:r w:rsidRPr="003A7319">
        <w:rPr>
          <w:rFonts w:ascii="Arial" w:eastAsiaTheme="majorEastAsia" w:hAnsi="Arial" w:cs="Arial"/>
          <w:color w:val="000000" w:themeColor="text1"/>
          <w:szCs w:val="24"/>
        </w:rPr>
        <w:t xml:space="preserve"> sheet financing that make financial information more relevant but also creates challenges </w:t>
      </w:r>
      <w:proofErr w:type="gramStart"/>
      <w:r w:rsidRPr="003A7319">
        <w:rPr>
          <w:rFonts w:ascii="Arial" w:eastAsiaTheme="majorEastAsia" w:hAnsi="Arial" w:cs="Arial"/>
          <w:color w:val="000000" w:themeColor="text1"/>
          <w:szCs w:val="24"/>
        </w:rPr>
        <w:t>in regard to</w:t>
      </w:r>
      <w:proofErr w:type="gramEnd"/>
      <w:r w:rsidRPr="003A7319">
        <w:rPr>
          <w:rFonts w:ascii="Arial" w:eastAsiaTheme="majorEastAsia" w:hAnsi="Arial" w:cs="Arial"/>
          <w:color w:val="000000" w:themeColor="text1"/>
          <w:szCs w:val="24"/>
        </w:rPr>
        <w:t xml:space="preserve"> reliability and subjectivity.</w:t>
      </w:r>
    </w:p>
    <w:p w14:paraId="66F0E085"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The IFRS and GAAP comparison shows that the tension between rules and principles is still present. Although IFRS enhances flexibility and international comparability, there </w:t>
      </w:r>
      <w:proofErr w:type="gramStart"/>
      <w:r w:rsidRPr="003A7319">
        <w:rPr>
          <w:rFonts w:ascii="Arial" w:eastAsiaTheme="majorEastAsia" w:hAnsi="Arial" w:cs="Arial"/>
          <w:color w:val="000000" w:themeColor="text1"/>
          <w:szCs w:val="24"/>
        </w:rPr>
        <w:t>has to</w:t>
      </w:r>
      <w:proofErr w:type="gramEnd"/>
      <w:r w:rsidRPr="003A7319">
        <w:rPr>
          <w:rFonts w:ascii="Arial" w:eastAsiaTheme="majorEastAsia" w:hAnsi="Arial" w:cs="Arial"/>
          <w:color w:val="000000" w:themeColor="text1"/>
          <w:szCs w:val="24"/>
        </w:rPr>
        <w:t xml:space="preserve"> be good professional judgment and effective enforcement systems to maintain consistency. On the other hand, GAAP is highly directive, which minimizes uncertainty at the expense of flexibility. The results are that both frameworks should not be considered </w:t>
      </w:r>
      <w:proofErr w:type="gramStart"/>
      <w:r w:rsidRPr="003A7319">
        <w:rPr>
          <w:rFonts w:ascii="Arial" w:eastAsiaTheme="majorEastAsia" w:hAnsi="Arial" w:cs="Arial"/>
          <w:color w:val="000000" w:themeColor="text1"/>
          <w:szCs w:val="24"/>
        </w:rPr>
        <w:t>superior</w:t>
      </w:r>
      <w:proofErr w:type="gramEnd"/>
      <w:r w:rsidRPr="003A7319">
        <w:rPr>
          <w:rFonts w:ascii="Arial" w:eastAsiaTheme="majorEastAsia" w:hAnsi="Arial" w:cs="Arial"/>
          <w:color w:val="000000" w:themeColor="text1"/>
          <w:szCs w:val="24"/>
        </w:rPr>
        <w:t xml:space="preserve"> but they are effective, depending on governance systems, regulatory conditions, and ethical processes.</w:t>
      </w:r>
    </w:p>
    <w:p w14:paraId="41E24202"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 xml:space="preserve">Corporate governance is also identified as a major element in the integrity and transparency of financial reporting. Well-established governance systems, such as autonomous audit and regulatory controls are critical in countering the risks of </w:t>
      </w:r>
      <w:r w:rsidRPr="003A7319">
        <w:rPr>
          <w:rFonts w:ascii="Arial" w:eastAsiaTheme="majorEastAsia" w:hAnsi="Arial" w:cs="Arial"/>
          <w:color w:val="000000" w:themeColor="text1"/>
          <w:szCs w:val="24"/>
        </w:rPr>
        <w:lastRenderedPageBreak/>
        <w:t>managerial discretion and possible financial misreporting. Along with that, the interdependence of financial statements highlights the need to take financial analysis as a holistic approach so that the stakeholders can make a well-informed decision based on the holistic financial data.</w:t>
      </w:r>
    </w:p>
    <w:p w14:paraId="200B0B97"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Moreover, the paper shows that the process of globalization has had a profound impact on the development and harmonization of the accounting standards. Although convergence efforts have led to improved comparability, full standardization is still difficult because of the diverse economic and regulatory environments. This means that accounting will keep changing as it keeps up with the new global and technological trends.</w:t>
      </w:r>
    </w:p>
    <w:p w14:paraId="62C8508F" w14:textId="77777777" w:rsidR="003A7319" w:rsidRPr="003A7319" w:rsidRDefault="003A7319" w:rsidP="003A7319">
      <w:pPr>
        <w:spacing w:line="480" w:lineRule="auto"/>
        <w:rPr>
          <w:rFonts w:ascii="Arial" w:eastAsiaTheme="majorEastAsia" w:hAnsi="Arial" w:cs="Arial"/>
          <w:color w:val="000000" w:themeColor="text1"/>
          <w:szCs w:val="24"/>
        </w:rPr>
      </w:pPr>
      <w:r w:rsidRPr="003A7319">
        <w:rPr>
          <w:rFonts w:ascii="Arial" w:eastAsiaTheme="majorEastAsia" w:hAnsi="Arial" w:cs="Arial"/>
          <w:color w:val="000000" w:themeColor="text1"/>
          <w:szCs w:val="24"/>
        </w:rPr>
        <w:t>To sum up, contemporary accounting is a compromise between theory and practice. Its success depends on how it is upheld in transparency, ethical conduct, and how it keeps evolving with the dynamics in business. In solving these issues, accounting can still serve in making informed decisions and maintaining trust in financial systems.</w:t>
      </w:r>
    </w:p>
    <w:p w14:paraId="39C75A56" w14:textId="77777777" w:rsidR="003A7319" w:rsidRPr="003A7319" w:rsidRDefault="003A7319" w:rsidP="003A7319">
      <w:pPr>
        <w:spacing w:line="480" w:lineRule="auto"/>
        <w:rPr>
          <w:rFonts w:ascii="Arial" w:eastAsiaTheme="majorEastAsia" w:hAnsi="Arial" w:cs="Arial"/>
          <w:color w:val="000000" w:themeColor="text1"/>
          <w:szCs w:val="24"/>
        </w:rPr>
      </w:pPr>
    </w:p>
    <w:p w14:paraId="2FE16DA9" w14:textId="77777777" w:rsidR="003A7319" w:rsidRPr="003A7319" w:rsidRDefault="003A7319" w:rsidP="003A7319">
      <w:pPr>
        <w:spacing w:line="480" w:lineRule="auto"/>
        <w:rPr>
          <w:rFonts w:ascii="Arial" w:eastAsiaTheme="majorEastAsia" w:hAnsi="Arial" w:cs="Arial"/>
          <w:color w:val="000000" w:themeColor="text1"/>
          <w:szCs w:val="24"/>
        </w:rPr>
      </w:pPr>
    </w:p>
    <w:p w14:paraId="7638ACC1" w14:textId="77777777" w:rsidR="003A7319" w:rsidRPr="003A7319" w:rsidRDefault="003A7319" w:rsidP="003A7319">
      <w:pPr>
        <w:spacing w:line="480" w:lineRule="auto"/>
        <w:rPr>
          <w:rFonts w:ascii="Arial" w:eastAsiaTheme="majorEastAsia" w:hAnsi="Arial" w:cs="Arial"/>
          <w:color w:val="000000" w:themeColor="text1"/>
          <w:szCs w:val="24"/>
        </w:rPr>
      </w:pPr>
    </w:p>
    <w:p w14:paraId="65D1AF6E" w14:textId="77777777" w:rsidR="005313C4" w:rsidRPr="003A7319" w:rsidRDefault="005313C4" w:rsidP="005313C4">
      <w:pPr>
        <w:spacing w:line="480" w:lineRule="auto"/>
        <w:rPr>
          <w:rFonts w:ascii="Arial" w:hAnsi="Arial" w:cs="Arial"/>
          <w:color w:val="000000" w:themeColor="text1"/>
          <w:szCs w:val="24"/>
        </w:rPr>
      </w:pPr>
    </w:p>
    <w:p w14:paraId="3843ECEC" w14:textId="77777777" w:rsidR="005313C4" w:rsidRPr="003A7319" w:rsidRDefault="005313C4" w:rsidP="005313C4">
      <w:pPr>
        <w:spacing w:line="480" w:lineRule="auto"/>
        <w:rPr>
          <w:rFonts w:ascii="Arial" w:hAnsi="Arial" w:cs="Arial"/>
          <w:color w:val="000000" w:themeColor="text1"/>
          <w:szCs w:val="24"/>
        </w:rPr>
      </w:pPr>
    </w:p>
    <w:p w14:paraId="20E4EB09" w14:textId="77777777" w:rsidR="005313C4" w:rsidRPr="003A7319" w:rsidRDefault="005313C4" w:rsidP="005313C4">
      <w:pPr>
        <w:spacing w:line="480" w:lineRule="auto"/>
        <w:rPr>
          <w:rFonts w:ascii="Arial" w:hAnsi="Arial" w:cs="Arial"/>
          <w:color w:val="000000" w:themeColor="text1"/>
          <w:szCs w:val="24"/>
        </w:rPr>
      </w:pPr>
    </w:p>
    <w:p w14:paraId="17919CC3" w14:textId="77777777" w:rsidR="005313C4" w:rsidRPr="003A7319" w:rsidRDefault="005313C4" w:rsidP="005313C4">
      <w:pPr>
        <w:spacing w:line="480" w:lineRule="auto"/>
        <w:rPr>
          <w:rFonts w:ascii="Arial" w:hAnsi="Arial" w:cs="Arial"/>
          <w:color w:val="000000" w:themeColor="text1"/>
          <w:szCs w:val="24"/>
        </w:rPr>
      </w:pPr>
    </w:p>
    <w:p w14:paraId="4837AFFE" w14:textId="77777777" w:rsidR="005313C4" w:rsidRPr="003A7319" w:rsidRDefault="005313C4" w:rsidP="005313C4">
      <w:pPr>
        <w:pStyle w:val="Heading2"/>
        <w:rPr>
          <w:rFonts w:ascii="Arial" w:hAnsi="Arial" w:cs="Arial"/>
          <w:color w:val="000000" w:themeColor="text1"/>
          <w:sz w:val="24"/>
          <w:szCs w:val="24"/>
        </w:rPr>
      </w:pPr>
      <w:bookmarkStart w:id="1" w:name="_Toc224846307"/>
      <w:r w:rsidRPr="003A7319">
        <w:rPr>
          <w:rFonts w:ascii="Arial" w:hAnsi="Arial" w:cs="Arial"/>
          <w:color w:val="000000" w:themeColor="text1"/>
          <w:sz w:val="24"/>
          <w:szCs w:val="24"/>
        </w:rPr>
        <w:lastRenderedPageBreak/>
        <w:t>References</w:t>
      </w:r>
      <w:bookmarkEnd w:id="1"/>
    </w:p>
    <w:p w14:paraId="1B67843C"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Barth, M. E., Landsman, W. R., &amp; Lang, M. H. (2012). International accounting standards and accounting quality. </w:t>
      </w:r>
      <w:r w:rsidRPr="00C76C6F">
        <w:rPr>
          <w:rFonts w:ascii="Arial" w:hAnsi="Arial" w:cs="Arial"/>
          <w:i/>
          <w:iCs/>
          <w:color w:val="000000" w:themeColor="text1"/>
          <w:szCs w:val="24"/>
        </w:rPr>
        <w:t>Journal of Accounting Research</w:t>
      </w:r>
      <w:r w:rsidRPr="00C76C6F">
        <w:rPr>
          <w:rFonts w:ascii="Arial" w:hAnsi="Arial" w:cs="Arial"/>
          <w:color w:val="000000" w:themeColor="text1"/>
          <w:szCs w:val="24"/>
        </w:rPr>
        <w:t>, 46(3), 467–498. https://doi.org/10.1111/j.1475-679X.2008.00287.x</w:t>
      </w:r>
    </w:p>
    <w:p w14:paraId="6D48A6EB"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Bushman, R. M., &amp; Smith, A. J. (2001). Financial accounting information and corporate governance. </w:t>
      </w:r>
      <w:r w:rsidRPr="00C76C6F">
        <w:rPr>
          <w:rFonts w:ascii="Arial" w:hAnsi="Arial" w:cs="Arial"/>
          <w:i/>
          <w:iCs/>
          <w:color w:val="000000" w:themeColor="text1"/>
          <w:szCs w:val="24"/>
        </w:rPr>
        <w:t>Journal of Accounting and Economics</w:t>
      </w:r>
      <w:r w:rsidRPr="00C76C6F">
        <w:rPr>
          <w:rFonts w:ascii="Arial" w:hAnsi="Arial" w:cs="Arial"/>
          <w:color w:val="000000" w:themeColor="text1"/>
          <w:szCs w:val="24"/>
        </w:rPr>
        <w:t>, 32(1–3), 237–333. https://doi.org/10.1016/S0165-4101(01)00027-1</w:t>
      </w:r>
    </w:p>
    <w:p w14:paraId="17387D42"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Healy, P. M., &amp; Palepu, K. G. (2001). Information asymmetry, corporate disclosure, and the capital markets. </w:t>
      </w:r>
      <w:r w:rsidRPr="00C76C6F">
        <w:rPr>
          <w:rFonts w:ascii="Arial" w:hAnsi="Arial" w:cs="Arial"/>
          <w:i/>
          <w:iCs/>
          <w:color w:val="000000" w:themeColor="text1"/>
          <w:szCs w:val="24"/>
        </w:rPr>
        <w:t>Journal of Accounting and Economics</w:t>
      </w:r>
      <w:r w:rsidRPr="00C76C6F">
        <w:rPr>
          <w:rFonts w:ascii="Arial" w:hAnsi="Arial" w:cs="Arial"/>
          <w:color w:val="000000" w:themeColor="text1"/>
          <w:szCs w:val="24"/>
        </w:rPr>
        <w:t>, 31(1–3), 405–440. https://doi.org/10.1016/S0165-4101(01)00018-0</w:t>
      </w:r>
    </w:p>
    <w:p w14:paraId="6D2A186D"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Healy, P. M., &amp; Palepu, K. G. (2003). The fall of Enron. </w:t>
      </w:r>
      <w:r w:rsidRPr="00C76C6F">
        <w:rPr>
          <w:rFonts w:ascii="Arial" w:hAnsi="Arial" w:cs="Arial"/>
          <w:i/>
          <w:iCs/>
          <w:color w:val="000000" w:themeColor="text1"/>
          <w:szCs w:val="24"/>
        </w:rPr>
        <w:t>Journal of Economic Perspectives</w:t>
      </w:r>
      <w:r w:rsidRPr="00C76C6F">
        <w:rPr>
          <w:rFonts w:ascii="Arial" w:hAnsi="Arial" w:cs="Arial"/>
          <w:color w:val="000000" w:themeColor="text1"/>
          <w:szCs w:val="24"/>
        </w:rPr>
        <w:t>, 17(2), 3–26. https://doi.org/10.1257/089533003765888403</w:t>
      </w:r>
    </w:p>
    <w:p w14:paraId="02F80A6F" w14:textId="77777777" w:rsidR="005313C4" w:rsidRPr="00C76C6F" w:rsidRDefault="005313C4" w:rsidP="005313C4">
      <w:pPr>
        <w:spacing w:line="480" w:lineRule="auto"/>
        <w:rPr>
          <w:rFonts w:ascii="Arial" w:hAnsi="Arial" w:cs="Arial"/>
          <w:color w:val="000000" w:themeColor="text1"/>
          <w:szCs w:val="24"/>
        </w:rPr>
      </w:pPr>
      <w:proofErr w:type="spellStart"/>
      <w:r w:rsidRPr="00C76C6F">
        <w:rPr>
          <w:rFonts w:ascii="Arial" w:hAnsi="Arial" w:cs="Arial"/>
          <w:color w:val="000000" w:themeColor="text1"/>
          <w:szCs w:val="24"/>
        </w:rPr>
        <w:t>Kieso</w:t>
      </w:r>
      <w:proofErr w:type="spellEnd"/>
      <w:r w:rsidRPr="00C76C6F">
        <w:rPr>
          <w:rFonts w:ascii="Arial" w:hAnsi="Arial" w:cs="Arial"/>
          <w:color w:val="000000" w:themeColor="text1"/>
          <w:szCs w:val="24"/>
        </w:rPr>
        <w:t xml:space="preserve">, D. E., Weygandt, J. J., &amp; Warfield, T. D. (2020). </w:t>
      </w:r>
      <w:r w:rsidRPr="00C76C6F">
        <w:rPr>
          <w:rFonts w:ascii="Arial" w:hAnsi="Arial" w:cs="Arial"/>
          <w:i/>
          <w:iCs/>
          <w:color w:val="000000" w:themeColor="text1"/>
          <w:szCs w:val="24"/>
        </w:rPr>
        <w:t>Intermediate accounting</w:t>
      </w:r>
      <w:r w:rsidRPr="00C76C6F">
        <w:rPr>
          <w:rFonts w:ascii="Arial" w:hAnsi="Arial" w:cs="Arial"/>
          <w:color w:val="000000" w:themeColor="text1"/>
          <w:szCs w:val="24"/>
        </w:rPr>
        <w:t xml:space="preserve"> (17th ed.). Wiley.</w:t>
      </w:r>
    </w:p>
    <w:p w14:paraId="00B4E91E"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Laux, C., &amp; </w:t>
      </w:r>
      <w:proofErr w:type="spellStart"/>
      <w:r w:rsidRPr="00C76C6F">
        <w:rPr>
          <w:rFonts w:ascii="Arial" w:hAnsi="Arial" w:cs="Arial"/>
          <w:color w:val="000000" w:themeColor="text1"/>
          <w:szCs w:val="24"/>
        </w:rPr>
        <w:t>Leuz</w:t>
      </w:r>
      <w:proofErr w:type="spellEnd"/>
      <w:r w:rsidRPr="00C76C6F">
        <w:rPr>
          <w:rFonts w:ascii="Arial" w:hAnsi="Arial" w:cs="Arial"/>
          <w:color w:val="000000" w:themeColor="text1"/>
          <w:szCs w:val="24"/>
        </w:rPr>
        <w:t xml:space="preserve">, C. (2009). The crisis of fair-value accounting. </w:t>
      </w:r>
      <w:r w:rsidRPr="00C76C6F">
        <w:rPr>
          <w:rFonts w:ascii="Arial" w:hAnsi="Arial" w:cs="Arial"/>
          <w:i/>
          <w:iCs/>
          <w:color w:val="000000" w:themeColor="text1"/>
          <w:szCs w:val="24"/>
        </w:rPr>
        <w:t>Accounting, Organizations and Society</w:t>
      </w:r>
      <w:r w:rsidRPr="00C76C6F">
        <w:rPr>
          <w:rFonts w:ascii="Arial" w:hAnsi="Arial" w:cs="Arial"/>
          <w:color w:val="000000" w:themeColor="text1"/>
          <w:szCs w:val="24"/>
        </w:rPr>
        <w:t>, 34(6–7), 826–834. https://doi.org/10.1016/j.aos.2009.04.004</w:t>
      </w:r>
    </w:p>
    <w:p w14:paraId="375FDE7F"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Penman, S. H. (2007). Financial reporting quality: Is fair value a plus or a minus? </w:t>
      </w:r>
      <w:r w:rsidRPr="00C76C6F">
        <w:rPr>
          <w:rFonts w:ascii="Arial" w:hAnsi="Arial" w:cs="Arial"/>
          <w:i/>
          <w:iCs/>
          <w:color w:val="000000" w:themeColor="text1"/>
          <w:szCs w:val="24"/>
        </w:rPr>
        <w:t>Accounting and Business Research</w:t>
      </w:r>
      <w:r w:rsidRPr="00C76C6F">
        <w:rPr>
          <w:rFonts w:ascii="Arial" w:hAnsi="Arial" w:cs="Arial"/>
          <w:color w:val="000000" w:themeColor="text1"/>
          <w:szCs w:val="24"/>
        </w:rPr>
        <w:t>, 37(sup1), 33–44. https://doi.org/10.1080/00014788.2007.9730083</w:t>
      </w:r>
    </w:p>
    <w:p w14:paraId="73E77A41"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Ramanna, K., &amp; Watts, R. L. (2012). Evidence on the use of unverifiable estimates in required goodwill impairment. </w:t>
      </w:r>
      <w:r w:rsidRPr="00C76C6F">
        <w:rPr>
          <w:rFonts w:ascii="Arial" w:hAnsi="Arial" w:cs="Arial"/>
          <w:i/>
          <w:iCs/>
          <w:color w:val="000000" w:themeColor="text1"/>
          <w:szCs w:val="24"/>
        </w:rPr>
        <w:t>Review of Accounting Studies</w:t>
      </w:r>
      <w:r w:rsidRPr="00C76C6F">
        <w:rPr>
          <w:rFonts w:ascii="Arial" w:hAnsi="Arial" w:cs="Arial"/>
          <w:color w:val="000000" w:themeColor="text1"/>
          <w:szCs w:val="24"/>
        </w:rPr>
        <w:t xml:space="preserve">, 17(4), 749–780. </w:t>
      </w:r>
      <w:hyperlink r:id="rId5" w:tgtFrame="_new" w:history="1">
        <w:r w:rsidRPr="00C76C6F">
          <w:rPr>
            <w:rStyle w:val="Hyperlink"/>
            <w:rFonts w:ascii="Arial" w:hAnsi="Arial" w:cs="Arial"/>
            <w:color w:val="000000" w:themeColor="text1"/>
            <w:szCs w:val="24"/>
          </w:rPr>
          <w:t>https://doi.org/10.1007/s11142-012-9188-5</w:t>
        </w:r>
      </w:hyperlink>
    </w:p>
    <w:p w14:paraId="124A11B1"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lastRenderedPageBreak/>
        <w:t xml:space="preserve">Soderstrom, N. S., &amp; Sun, K. J. (2007). IFRS adoption and accounting quality: A review. </w:t>
      </w:r>
      <w:r w:rsidRPr="00C76C6F">
        <w:rPr>
          <w:rFonts w:ascii="Arial" w:hAnsi="Arial" w:cs="Arial"/>
          <w:i/>
          <w:iCs/>
          <w:color w:val="000000" w:themeColor="text1"/>
          <w:szCs w:val="24"/>
        </w:rPr>
        <w:t>European Accounting Review</w:t>
      </w:r>
      <w:r w:rsidRPr="00C76C6F">
        <w:rPr>
          <w:rFonts w:ascii="Arial" w:hAnsi="Arial" w:cs="Arial"/>
          <w:color w:val="000000" w:themeColor="text1"/>
          <w:szCs w:val="24"/>
        </w:rPr>
        <w:t xml:space="preserve">, 16(4), 675–702. </w:t>
      </w:r>
      <w:hyperlink r:id="rId6" w:tgtFrame="_new" w:history="1">
        <w:r w:rsidRPr="00C76C6F">
          <w:rPr>
            <w:rStyle w:val="Hyperlink"/>
            <w:rFonts w:ascii="Arial" w:hAnsi="Arial" w:cs="Arial"/>
            <w:color w:val="000000" w:themeColor="text1"/>
            <w:szCs w:val="24"/>
          </w:rPr>
          <w:t>https://doi.org/10.1080/09638180701706732</w:t>
        </w:r>
      </w:hyperlink>
    </w:p>
    <w:p w14:paraId="3E95735D"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Ball, R. (2006). International financial reporting standards (IFRS): Pros and cons for investors. </w:t>
      </w:r>
      <w:r w:rsidRPr="00C76C6F">
        <w:rPr>
          <w:rFonts w:ascii="Arial" w:hAnsi="Arial" w:cs="Arial"/>
          <w:i/>
          <w:iCs/>
          <w:color w:val="000000" w:themeColor="text1"/>
          <w:szCs w:val="24"/>
        </w:rPr>
        <w:t>Accounting and Business Research</w:t>
      </w:r>
      <w:r w:rsidRPr="00C76C6F">
        <w:rPr>
          <w:rFonts w:ascii="Arial" w:hAnsi="Arial" w:cs="Arial"/>
          <w:color w:val="000000" w:themeColor="text1"/>
          <w:szCs w:val="24"/>
        </w:rPr>
        <w:t xml:space="preserve">, 36(sup1), 5–27. </w:t>
      </w:r>
      <w:hyperlink r:id="rId7" w:tgtFrame="_new" w:history="1">
        <w:r w:rsidRPr="00C76C6F">
          <w:rPr>
            <w:rStyle w:val="Hyperlink"/>
            <w:rFonts w:ascii="Arial" w:hAnsi="Arial" w:cs="Arial"/>
            <w:color w:val="000000" w:themeColor="text1"/>
            <w:szCs w:val="24"/>
          </w:rPr>
          <w:t>https://doi.org/10.1080/00014788.2006.9730040</w:t>
        </w:r>
      </w:hyperlink>
    </w:p>
    <w:p w14:paraId="06779C3E"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Dechow, P. M., &amp; Schrand, C. M. (2004). Earnings quality. </w:t>
      </w:r>
      <w:r w:rsidRPr="00C76C6F">
        <w:rPr>
          <w:rFonts w:ascii="Arial" w:hAnsi="Arial" w:cs="Arial"/>
          <w:i/>
          <w:iCs/>
          <w:color w:val="000000" w:themeColor="text1"/>
          <w:szCs w:val="24"/>
        </w:rPr>
        <w:t>Research Foundation of CFA Institute</w:t>
      </w:r>
      <w:r w:rsidRPr="00C76C6F">
        <w:rPr>
          <w:rFonts w:ascii="Arial" w:hAnsi="Arial" w:cs="Arial"/>
          <w:color w:val="000000" w:themeColor="text1"/>
          <w:szCs w:val="24"/>
        </w:rPr>
        <w:t>. https://doi.org/10.2469/rrf.v2004.n3.389</w:t>
      </w:r>
    </w:p>
    <w:p w14:paraId="35B1A7C1"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Scott, W. R. (2015). </w:t>
      </w:r>
      <w:r w:rsidRPr="00C76C6F">
        <w:rPr>
          <w:rFonts w:ascii="Arial" w:hAnsi="Arial" w:cs="Arial"/>
          <w:i/>
          <w:iCs/>
          <w:color w:val="000000" w:themeColor="text1"/>
          <w:szCs w:val="24"/>
        </w:rPr>
        <w:t>Financial accounting theory</w:t>
      </w:r>
      <w:r w:rsidRPr="00C76C6F">
        <w:rPr>
          <w:rFonts w:ascii="Arial" w:hAnsi="Arial" w:cs="Arial"/>
          <w:color w:val="000000" w:themeColor="text1"/>
          <w:szCs w:val="24"/>
        </w:rPr>
        <w:t xml:space="preserve"> (7th ed.). Pearson.</w:t>
      </w:r>
    </w:p>
    <w:p w14:paraId="7B7D578C"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Godfrey, J., Hodgson, A., Tarca, A., Hamilton, J., &amp; Holmes, S. (2010). </w:t>
      </w:r>
      <w:r w:rsidRPr="00C76C6F">
        <w:rPr>
          <w:rFonts w:ascii="Arial" w:hAnsi="Arial" w:cs="Arial"/>
          <w:i/>
          <w:iCs/>
          <w:color w:val="000000" w:themeColor="text1"/>
          <w:szCs w:val="24"/>
        </w:rPr>
        <w:t>Accounting theory</w:t>
      </w:r>
      <w:r w:rsidRPr="00C76C6F">
        <w:rPr>
          <w:rFonts w:ascii="Arial" w:hAnsi="Arial" w:cs="Arial"/>
          <w:color w:val="000000" w:themeColor="text1"/>
          <w:szCs w:val="24"/>
        </w:rPr>
        <w:t xml:space="preserve"> (7th ed.). Wiley.</w:t>
      </w:r>
    </w:p>
    <w:p w14:paraId="12949E28"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Watts, R. L., &amp; Zimmerman, J. L. (1986). </w:t>
      </w:r>
      <w:r w:rsidRPr="00C76C6F">
        <w:rPr>
          <w:rFonts w:ascii="Arial" w:hAnsi="Arial" w:cs="Arial"/>
          <w:i/>
          <w:iCs/>
          <w:color w:val="000000" w:themeColor="text1"/>
          <w:szCs w:val="24"/>
        </w:rPr>
        <w:t>Positive accounting theory</w:t>
      </w:r>
      <w:r w:rsidRPr="00C76C6F">
        <w:rPr>
          <w:rFonts w:ascii="Arial" w:hAnsi="Arial" w:cs="Arial"/>
          <w:color w:val="000000" w:themeColor="text1"/>
          <w:szCs w:val="24"/>
        </w:rPr>
        <w:t>. Prentice Hall.</w:t>
      </w:r>
    </w:p>
    <w:p w14:paraId="6A842797" w14:textId="77777777" w:rsidR="005313C4" w:rsidRPr="00C76C6F" w:rsidRDefault="005313C4" w:rsidP="005313C4">
      <w:pPr>
        <w:spacing w:line="480" w:lineRule="auto"/>
        <w:rPr>
          <w:rFonts w:ascii="Arial" w:hAnsi="Arial" w:cs="Arial"/>
          <w:color w:val="000000" w:themeColor="text1"/>
          <w:szCs w:val="24"/>
        </w:rPr>
      </w:pPr>
      <w:proofErr w:type="spellStart"/>
      <w:r w:rsidRPr="00C76C6F">
        <w:rPr>
          <w:rFonts w:ascii="Arial" w:hAnsi="Arial" w:cs="Arial"/>
          <w:color w:val="000000" w:themeColor="text1"/>
          <w:szCs w:val="24"/>
        </w:rPr>
        <w:t>Leuz</w:t>
      </w:r>
      <w:proofErr w:type="spellEnd"/>
      <w:r w:rsidRPr="00C76C6F">
        <w:rPr>
          <w:rFonts w:ascii="Arial" w:hAnsi="Arial" w:cs="Arial"/>
          <w:color w:val="000000" w:themeColor="text1"/>
          <w:szCs w:val="24"/>
        </w:rPr>
        <w:t xml:space="preserve">, C., Nanda, D., &amp; Wysocki, P. D. (2003). Earnings management and investor protection. </w:t>
      </w:r>
      <w:r w:rsidRPr="00C76C6F">
        <w:rPr>
          <w:rFonts w:ascii="Arial" w:hAnsi="Arial" w:cs="Arial"/>
          <w:i/>
          <w:iCs/>
          <w:color w:val="000000" w:themeColor="text1"/>
          <w:szCs w:val="24"/>
        </w:rPr>
        <w:t>Journal of Financial Economics</w:t>
      </w:r>
      <w:r w:rsidRPr="00C76C6F">
        <w:rPr>
          <w:rFonts w:ascii="Arial" w:hAnsi="Arial" w:cs="Arial"/>
          <w:color w:val="000000" w:themeColor="text1"/>
          <w:szCs w:val="24"/>
        </w:rPr>
        <w:t>, 69(3), 505–527. https://doi.org/10.1016/S0304-405X(03)00121-1</w:t>
      </w:r>
    </w:p>
    <w:p w14:paraId="6AEFBB7F"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Jensen, M. C., &amp; Meckling, W. H. (1976). Theory of the firm: Managerial </w:t>
      </w:r>
      <w:proofErr w:type="spellStart"/>
      <w:r w:rsidRPr="00C76C6F">
        <w:rPr>
          <w:rFonts w:ascii="Arial" w:hAnsi="Arial" w:cs="Arial"/>
          <w:color w:val="000000" w:themeColor="text1"/>
          <w:szCs w:val="24"/>
        </w:rPr>
        <w:t>behavior</w:t>
      </w:r>
      <w:proofErr w:type="spellEnd"/>
      <w:r w:rsidRPr="00C76C6F">
        <w:rPr>
          <w:rFonts w:ascii="Arial" w:hAnsi="Arial" w:cs="Arial"/>
          <w:color w:val="000000" w:themeColor="text1"/>
          <w:szCs w:val="24"/>
        </w:rPr>
        <w:t xml:space="preserve">, agency costs and ownership structure. </w:t>
      </w:r>
      <w:r w:rsidRPr="00C76C6F">
        <w:rPr>
          <w:rFonts w:ascii="Arial" w:hAnsi="Arial" w:cs="Arial"/>
          <w:i/>
          <w:iCs/>
          <w:color w:val="000000" w:themeColor="text1"/>
          <w:szCs w:val="24"/>
        </w:rPr>
        <w:t>Journal of Financial Economics</w:t>
      </w:r>
      <w:r w:rsidRPr="00C76C6F">
        <w:rPr>
          <w:rFonts w:ascii="Arial" w:hAnsi="Arial" w:cs="Arial"/>
          <w:color w:val="000000" w:themeColor="text1"/>
          <w:szCs w:val="24"/>
        </w:rPr>
        <w:t>, 3(4), 305–360. https://doi.org/10.1016/0304-405X(76)90026-X</w:t>
      </w:r>
    </w:p>
    <w:p w14:paraId="09F8E9B5"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IASB. (2018). </w:t>
      </w:r>
      <w:r w:rsidRPr="00C76C6F">
        <w:rPr>
          <w:rFonts w:ascii="Arial" w:hAnsi="Arial" w:cs="Arial"/>
          <w:i/>
          <w:iCs/>
          <w:color w:val="000000" w:themeColor="text1"/>
          <w:szCs w:val="24"/>
        </w:rPr>
        <w:t>Conceptual framework for financial reporting</w:t>
      </w:r>
      <w:r w:rsidRPr="00C76C6F">
        <w:rPr>
          <w:rFonts w:ascii="Arial" w:hAnsi="Arial" w:cs="Arial"/>
          <w:color w:val="000000" w:themeColor="text1"/>
          <w:szCs w:val="24"/>
        </w:rPr>
        <w:t>. IFRS Foundation.</w:t>
      </w:r>
    </w:p>
    <w:p w14:paraId="2D2A6DE4" w14:textId="77777777" w:rsidR="005313C4" w:rsidRPr="00C76C6F" w:rsidRDefault="005313C4" w:rsidP="005313C4">
      <w:pPr>
        <w:spacing w:line="480" w:lineRule="auto"/>
        <w:rPr>
          <w:rFonts w:ascii="Arial" w:hAnsi="Arial" w:cs="Arial"/>
          <w:color w:val="000000" w:themeColor="text1"/>
          <w:szCs w:val="24"/>
        </w:rPr>
      </w:pPr>
      <w:r w:rsidRPr="00C76C6F">
        <w:rPr>
          <w:rFonts w:ascii="Arial" w:hAnsi="Arial" w:cs="Arial"/>
          <w:color w:val="000000" w:themeColor="text1"/>
          <w:szCs w:val="24"/>
        </w:rPr>
        <w:t xml:space="preserve">FASB. (2010). </w:t>
      </w:r>
      <w:r w:rsidRPr="00C76C6F">
        <w:rPr>
          <w:rFonts w:ascii="Arial" w:hAnsi="Arial" w:cs="Arial"/>
          <w:i/>
          <w:iCs/>
          <w:color w:val="000000" w:themeColor="text1"/>
          <w:szCs w:val="24"/>
        </w:rPr>
        <w:t>Conceptual framework for financial reporting</w:t>
      </w:r>
      <w:r w:rsidRPr="00C76C6F">
        <w:rPr>
          <w:rFonts w:ascii="Arial" w:hAnsi="Arial" w:cs="Arial"/>
          <w:color w:val="000000" w:themeColor="text1"/>
          <w:szCs w:val="24"/>
        </w:rPr>
        <w:t>. Financial Accounting Standards Board.</w:t>
      </w:r>
    </w:p>
    <w:p w14:paraId="4FC692F4" w14:textId="77777777" w:rsidR="005313C4" w:rsidRPr="003A7319" w:rsidRDefault="005313C4" w:rsidP="005313C4">
      <w:pPr>
        <w:spacing w:line="480" w:lineRule="auto"/>
        <w:rPr>
          <w:rFonts w:ascii="Arial" w:hAnsi="Arial" w:cs="Arial"/>
          <w:color w:val="000000" w:themeColor="text1"/>
          <w:szCs w:val="24"/>
        </w:rPr>
      </w:pPr>
    </w:p>
    <w:p w14:paraId="7A123AE2" w14:textId="77777777" w:rsidR="005313C4" w:rsidRPr="003A7319" w:rsidRDefault="005313C4">
      <w:pPr>
        <w:rPr>
          <w:rFonts w:ascii="Arial" w:hAnsi="Arial" w:cs="Arial"/>
          <w:color w:val="000000" w:themeColor="text1"/>
        </w:rPr>
      </w:pPr>
    </w:p>
    <w:sectPr w:rsidR="005313C4" w:rsidRPr="003A73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C4"/>
    <w:rsid w:val="003A7319"/>
    <w:rsid w:val="005313C4"/>
    <w:rsid w:val="00722D44"/>
    <w:rsid w:val="00B815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283C"/>
  <w15:chartTrackingRefBased/>
  <w15:docId w15:val="{A4A85574-8000-4A2E-9C79-F85F49F7D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3C4"/>
  </w:style>
  <w:style w:type="paragraph" w:styleId="Heading1">
    <w:name w:val="heading 1"/>
    <w:basedOn w:val="Normal"/>
    <w:next w:val="Normal"/>
    <w:link w:val="Heading1Char"/>
    <w:uiPriority w:val="9"/>
    <w:qFormat/>
    <w:rsid w:val="005313C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5313C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313C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313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3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3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3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3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3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3C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5313C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313C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313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3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3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3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3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3C4"/>
    <w:rPr>
      <w:rFonts w:eastAsiaTheme="majorEastAsia" w:cstheme="majorBidi"/>
      <w:color w:val="272727" w:themeColor="text1" w:themeTint="D8"/>
    </w:rPr>
  </w:style>
  <w:style w:type="paragraph" w:styleId="Title">
    <w:name w:val="Title"/>
    <w:basedOn w:val="Normal"/>
    <w:next w:val="Normal"/>
    <w:link w:val="TitleChar"/>
    <w:uiPriority w:val="10"/>
    <w:qFormat/>
    <w:rsid w:val="005313C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313C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313C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313C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313C4"/>
    <w:pPr>
      <w:spacing w:before="160"/>
      <w:jc w:val="center"/>
    </w:pPr>
    <w:rPr>
      <w:i/>
      <w:iCs/>
      <w:color w:val="404040" w:themeColor="text1" w:themeTint="BF"/>
    </w:rPr>
  </w:style>
  <w:style w:type="character" w:customStyle="1" w:styleId="QuoteChar">
    <w:name w:val="Quote Char"/>
    <w:basedOn w:val="DefaultParagraphFont"/>
    <w:link w:val="Quote"/>
    <w:uiPriority w:val="29"/>
    <w:rsid w:val="005313C4"/>
    <w:rPr>
      <w:i/>
      <w:iCs/>
      <w:color w:val="404040" w:themeColor="text1" w:themeTint="BF"/>
    </w:rPr>
  </w:style>
  <w:style w:type="paragraph" w:styleId="ListParagraph">
    <w:name w:val="List Paragraph"/>
    <w:basedOn w:val="Normal"/>
    <w:uiPriority w:val="34"/>
    <w:qFormat/>
    <w:rsid w:val="005313C4"/>
    <w:pPr>
      <w:ind w:left="720"/>
      <w:contextualSpacing/>
    </w:pPr>
  </w:style>
  <w:style w:type="character" w:styleId="IntenseEmphasis">
    <w:name w:val="Intense Emphasis"/>
    <w:basedOn w:val="DefaultParagraphFont"/>
    <w:uiPriority w:val="21"/>
    <w:qFormat/>
    <w:rsid w:val="005313C4"/>
    <w:rPr>
      <w:i/>
      <w:iCs/>
      <w:color w:val="0F4761" w:themeColor="accent1" w:themeShade="BF"/>
    </w:rPr>
  </w:style>
  <w:style w:type="paragraph" w:styleId="IntenseQuote">
    <w:name w:val="Intense Quote"/>
    <w:basedOn w:val="Normal"/>
    <w:next w:val="Normal"/>
    <w:link w:val="IntenseQuoteChar"/>
    <w:uiPriority w:val="30"/>
    <w:qFormat/>
    <w:rsid w:val="005313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13C4"/>
    <w:rPr>
      <w:i/>
      <w:iCs/>
      <w:color w:val="0F4761" w:themeColor="accent1" w:themeShade="BF"/>
    </w:rPr>
  </w:style>
  <w:style w:type="character" w:styleId="IntenseReference">
    <w:name w:val="Intense Reference"/>
    <w:basedOn w:val="DefaultParagraphFont"/>
    <w:uiPriority w:val="32"/>
    <w:qFormat/>
    <w:rsid w:val="005313C4"/>
    <w:rPr>
      <w:b/>
      <w:bCs/>
      <w:smallCaps/>
      <w:color w:val="0F4761" w:themeColor="accent1" w:themeShade="BF"/>
      <w:spacing w:val="5"/>
    </w:rPr>
  </w:style>
  <w:style w:type="character" w:styleId="Hyperlink">
    <w:name w:val="Hyperlink"/>
    <w:basedOn w:val="DefaultParagraphFont"/>
    <w:uiPriority w:val="99"/>
    <w:unhideWhenUsed/>
    <w:rsid w:val="005313C4"/>
    <w:rPr>
      <w:color w:val="467886" w:themeColor="hyperlink"/>
      <w:u w:val="single"/>
    </w:rPr>
  </w:style>
  <w:style w:type="paragraph" w:styleId="TOCHeading">
    <w:name w:val="TOC Heading"/>
    <w:basedOn w:val="Heading1"/>
    <w:next w:val="Normal"/>
    <w:uiPriority w:val="39"/>
    <w:unhideWhenUsed/>
    <w:qFormat/>
    <w:rsid w:val="005313C4"/>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5313C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00014788.2006.97300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638180701706732" TargetMode="External"/><Relationship Id="rId5" Type="http://schemas.openxmlformats.org/officeDocument/2006/relationships/hyperlink" Target="https://doi.org/10.1007/s11142-012-9188-5"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5079</Words>
  <Characters>28952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2026-03-19T15:44:00Z</dcterms:created>
  <dcterms:modified xsi:type="dcterms:W3CDTF">2026-03-19T16:03:00Z</dcterms:modified>
</cp:coreProperties>
</file>