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2F0960">
      <w:pPr>
        <w:jc w:val="center"/>
        <w:rPr>
          <w:b/>
          <w:bCs/>
          <w:sz w:val="48"/>
          <w:szCs w:val="48"/>
        </w:rPr>
      </w:pPr>
      <w:bookmarkStart w:id="0" w:name="_GoBack"/>
      <w:bookmarkEnd w:id="0"/>
      <w:r>
        <w:rPr>
          <w:b/>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3" descr="European Institute of Innovation, Entrepreneurship and Technology"/>
                    <pic:cNvPicPr>
                      <a:picLocks noChangeAspect="1" noChangeArrowheads="1"/>
                    </pic:cNvPicPr>
                  </pic:nvPicPr>
                  <pic:blipFill>
                    <a:blip r:embed="rId6"/>
                    <a:srcRect/>
                    <a:stretch>
                      <a:fillRect/>
                    </a:stretch>
                  </pic:blipFill>
                  <pic:spPr>
                    <a:xfrm>
                      <a:off x="0" y="0"/>
                      <a:ext cx="5474970" cy="1715770"/>
                    </a:xfrm>
                    <a:prstGeom prst="rect">
                      <a:avLst/>
                    </a:prstGeom>
                    <a:noFill/>
                    <a:ln w="9525">
                      <a:noFill/>
                      <a:miter lim="800000"/>
                      <a:headEnd/>
                      <a:tailEnd/>
                    </a:ln>
                  </pic:spPr>
                </pic:pic>
              </a:graphicData>
            </a:graphic>
          </wp:inline>
        </w:drawing>
      </w:r>
    </w:p>
    <w:p w14:paraId="550A3BE5">
      <w:pPr>
        <w:jc w:val="center"/>
        <w:rPr>
          <w:sz w:val="48"/>
          <w:szCs w:val="48"/>
        </w:rPr>
      </w:pPr>
      <w:r>
        <w:rPr>
          <w:b/>
          <w:bCs/>
          <w:sz w:val="48"/>
          <w:szCs w:val="48"/>
        </w:rPr>
        <w:t>Title: Strategic Crisis Communication Plan for Organic Food Supply Chain Disruption at Serenity Bay Wellness Retreat, Phuket, Thailand</w:t>
      </w:r>
    </w:p>
    <w:p w14:paraId="0DAA46C9">
      <w:pPr>
        <w:jc w:val="center"/>
        <w:rPr>
          <w:sz w:val="44"/>
          <w:szCs w:val="44"/>
        </w:rPr>
      </w:pPr>
      <w:r>
        <w:rPr>
          <w:b/>
          <w:sz w:val="40"/>
          <w:szCs w:val="40"/>
        </w:rPr>
        <w:br w:type="textWrapping"/>
      </w:r>
      <w:r>
        <w:rPr>
          <w:sz w:val="40"/>
          <w:szCs w:val="40"/>
        </w:rPr>
        <w:br w:type="textWrapping"/>
      </w:r>
      <w:r>
        <w:rPr>
          <w:sz w:val="44"/>
          <w:szCs w:val="44"/>
        </w:rPr>
        <w:t>Student Name: Arun Sharma</w:t>
      </w:r>
      <w:r>
        <w:rPr>
          <w:sz w:val="44"/>
          <w:szCs w:val="44"/>
        </w:rPr>
        <w:br w:type="textWrapping"/>
      </w:r>
    </w:p>
    <w:p w14:paraId="655509FD">
      <w:pPr>
        <w:jc w:val="center"/>
        <w:rPr>
          <w:sz w:val="44"/>
          <w:szCs w:val="44"/>
        </w:rPr>
      </w:pPr>
      <w:r>
        <w:rPr>
          <w:sz w:val="44"/>
          <w:szCs w:val="44"/>
        </w:rPr>
        <w:t>Submission date: 25.06.2025</w:t>
      </w:r>
    </w:p>
    <w:p w14:paraId="2D495094"/>
    <w:p w14:paraId="6020F934"/>
    <w:p w14:paraId="0A189D09"/>
    <w:p w14:paraId="3144BAC6"/>
    <w:p w14:paraId="5A518E5A"/>
    <w:p w14:paraId="056C5BF3"/>
    <w:p w14:paraId="5ECEDD96"/>
    <w:p w14:paraId="4A4E9A80">
      <w:pPr>
        <w:spacing w:before="100" w:beforeAutospacing="1" w:after="100" w:afterAutospacing="1" w:line="240" w:lineRule="auto"/>
        <w:outlineLvl w:val="1"/>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TABLE OF CONTENTS</w:t>
      </w:r>
    </w:p>
    <w:p w14:paraId="06AE23A0">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Abstract</w:t>
      </w:r>
    </w:p>
    <w:p w14:paraId="54C17978">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Introduction</w:t>
      </w:r>
    </w:p>
    <w:p w14:paraId="673EFCD2">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Literature Review</w:t>
      </w:r>
    </w:p>
    <w:p w14:paraId="54499DB4">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Methodology</w:t>
      </w:r>
    </w:p>
    <w:p w14:paraId="77F7ADE2">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Findings</w:t>
      </w:r>
    </w:p>
    <w:p w14:paraId="01FAF5DD">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Discussion</w:t>
      </w:r>
    </w:p>
    <w:p w14:paraId="5B0B4425">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Conclusion</w:t>
      </w:r>
    </w:p>
    <w:p w14:paraId="5883689A">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References</w:t>
      </w:r>
    </w:p>
    <w:p w14:paraId="7D0CF170">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Appendices</w:t>
      </w:r>
    </w:p>
    <w:p w14:paraId="5C6F18E1">
      <w:pPr>
        <w:spacing w:before="100" w:beforeAutospacing="1" w:after="100" w:afterAutospacing="1" w:line="240" w:lineRule="auto"/>
        <w:outlineLvl w:val="1"/>
        <w:rPr>
          <w:rFonts w:ascii="Times New Roman" w:hAnsi="Times New Roman" w:eastAsia="Times New Roman" w:cs="Times New Roman"/>
          <w:b/>
          <w:bCs/>
          <w:sz w:val="36"/>
          <w:szCs w:val="36"/>
        </w:rPr>
      </w:pPr>
    </w:p>
    <w:p w14:paraId="418B9397">
      <w:pPr>
        <w:spacing w:before="100" w:beforeAutospacing="1" w:after="100" w:afterAutospacing="1" w:line="240" w:lineRule="auto"/>
        <w:outlineLvl w:val="1"/>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1. ABSTRACT</w:t>
      </w:r>
    </w:p>
    <w:p w14:paraId="04B2712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hospitality industry operates within a delicate balance of guest expectations and operational reliability, where disruptions—especially in wellness tourism—can severely affect brand trust and service quality. In May 2025, Serenity Bay Wellness Retreat in Phuket, Thailand, encountered a serious supply chain crisis due to regional flooding and port shutdowns. As a result, the resort was unable to receive essential organic and locally sourced ingredients critical to its detox and plant-based dietary programs. These shortages led to compromised menus and guest dissatisfaction, particularly among health-conscious and long-staying international clientele. The hospitality sector’s sensitivity to such crises, especially within niche wellness segments, requires well-prepared communication protocols and contingency planning (Choi et al., 2021; Henderson, 2007).</w:t>
      </w:r>
    </w:p>
    <w:p w14:paraId="2C5245A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report adopts </w:t>
      </w:r>
      <w:r>
        <w:rPr>
          <w:rFonts w:ascii="Times New Roman" w:hAnsi="Times New Roman" w:eastAsia="Times New Roman" w:cs="Times New Roman"/>
          <w:b/>
          <w:bCs/>
          <w:sz w:val="24"/>
          <w:szCs w:val="24"/>
        </w:rPr>
        <w:t>Situational Crisis Communication Theory (SCCT)</w:t>
      </w:r>
      <w:r>
        <w:rPr>
          <w:rFonts w:ascii="Times New Roman" w:hAnsi="Times New Roman" w:eastAsia="Times New Roman" w:cs="Times New Roman"/>
          <w:sz w:val="24"/>
          <w:szCs w:val="24"/>
        </w:rPr>
        <w:t xml:space="preserve"> as a foundational framework, developed by Coombs (2007), which emphasizes that a brand’s communication strategy must match the level of responsibility attributed by stakeholders. Since the crisis was externally caused by natural disasters, Serenity Bay falls into SCCT’s “Victim Cluster.” However, the resort’s communication delays, inconsistent meal availability, and a lack of cultural sensitivity in messaging created a perception of negligence. As Coombs and Holladay (2010) suggest, even low-responsibility crises can escalate if response quality is poor. The report thus advocates for a hybrid “Diminish + Rebuild” strategy that explains the uncontrollable cause while also expressing sincere empathy and commitment to guest care.</w:t>
      </w:r>
    </w:p>
    <w:p w14:paraId="0184215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Hofstede’s Cultural Dimensions</w:t>
      </w:r>
      <w:r>
        <w:rPr>
          <w:rFonts w:ascii="Times New Roman" w:hAnsi="Times New Roman" w:eastAsia="Times New Roman" w:cs="Times New Roman"/>
          <w:sz w:val="24"/>
          <w:szCs w:val="24"/>
        </w:rPr>
        <w:t xml:space="preserve"> were integrated into the plan to guide cross-cultural communication, given the diversity of Serenity Bay’s guest base—including visitors from high-context cultures such as Japan, China, and Thailand, and low-context cultures like the US, UK, and Germany. According to Hofstede (2011), these cultural dimensions—particularly uncertainty avoidance, individualism versus collectivism, and power distance—shape how stakeholders interpret messages during uncertainty. For instance, guests from high uncertainty avoidance cultures (e.g., Germany, Japan) reacted more strongly to vague food explanations, whereas collectivist cultures expected proactive communal solutions. Thus, tailored communication using culturally aware language and emotional tone was necessary to bridge interpretation gaps (Voigt &amp; Von dem Bussche, 2017; Lee &amp; Larsen, 2022).</w:t>
      </w:r>
    </w:p>
    <w:p w14:paraId="54008C7D">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Serenity Bay case illustrates the growing vulnerability of </w:t>
      </w:r>
      <w:r>
        <w:rPr>
          <w:rFonts w:ascii="Times New Roman" w:hAnsi="Times New Roman" w:eastAsia="Times New Roman" w:cs="Times New Roman"/>
          <w:b/>
          <w:bCs/>
          <w:sz w:val="24"/>
          <w:szCs w:val="24"/>
        </w:rPr>
        <w:t>global wellness tourism</w:t>
      </w:r>
      <w:r>
        <w:rPr>
          <w:rFonts w:ascii="Times New Roman" w:hAnsi="Times New Roman" w:eastAsia="Times New Roman" w:cs="Times New Roman"/>
          <w:sz w:val="24"/>
          <w:szCs w:val="24"/>
        </w:rPr>
        <w:t xml:space="preserve"> supply chains to environmental disruptions. Floods, droughts, and logistical instability have already affected other wellness destinations across Southeast Asia (Deloitte, 2023). Unlike traditional resorts, wellness retreats rely on seasonal produce, imported supplements, and hyper-customized meals. These high-dependency systems make it essential for resorts to implement alternate sourcing contracts and emergency menu options in advance (Berezina et al., 2020). The crisis plan developed in this report includes operational guidelines for procurement diversification, emergency vendor engagement, and pre-approved substitute menus—all rooted in service continuity best practices (Kwon et al., 2021; CyberEdge Group, 2023).</w:t>
      </w:r>
    </w:p>
    <w:p w14:paraId="2B890CE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Communication templates form the core of this plan. It includes multilingual guest notices, digital press releases, internal staff memos, and post-crisis feedback loops. These tools reflect the need for timeliness, transparency, and tone sensitivity (Fearn-Banks, 2016). For instance, the plan recommends push notifications via the Serenity Bay mobile app and QR-based dining updates at restaurant entrances—strategies proven effective in previous hotel crises like the 2023 Radisson Data Disruption and the 2019 Bali Earthquake Response (Radisson Hotel Group, 2022; IBM, 2023). Staff scripts, translated into Thai, English, Japanese, and German, aim to ensure consistency across frontline interactions.</w:t>
      </w:r>
    </w:p>
    <w:p w14:paraId="2534813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 sum, this crisis communication plan goes beyond damage control to offer a holistic recovery strategy rooted in guest empathy, cultural intelligence, and operational resilience. The Serenity Bay incident is a reminder that even uncontrollable external events require immediate, sensitive, and well-structured responses. As Coombs (2015) emphasizes, crisis communication is not just about relaying facts—it is about demonstrating care, managing perceptions, and ensuring future preparedness. With SCCT and Hofstede as its backbone, the plan ensures Serenity Bay can rebuild guest trust, sustain its wellness brand promise, and emerge stronger in an increasingly uncertain tourism environment.</w:t>
      </w:r>
    </w:p>
    <w:p w14:paraId="38B3B997">
      <w:pPr>
        <w:spacing w:before="100" w:beforeAutospacing="1" w:after="100" w:afterAutospacing="1" w:line="240" w:lineRule="auto"/>
        <w:outlineLvl w:val="1"/>
        <w:rPr>
          <w:rFonts w:ascii="Times New Roman" w:hAnsi="Times New Roman" w:eastAsia="Times New Roman" w:cs="Times New Roman"/>
          <w:sz w:val="24"/>
          <w:szCs w:val="24"/>
        </w:rPr>
      </w:pPr>
    </w:p>
    <w:p w14:paraId="319A7960">
      <w:pPr>
        <w:pStyle w:val="3"/>
      </w:pPr>
      <w:r>
        <w:t>2. INTRODUCTION</w:t>
      </w:r>
    </w:p>
    <w:p w14:paraId="7AE4D2D9">
      <w:pPr>
        <w:pStyle w:val="4"/>
        <w:rPr>
          <w:color w:val="auto"/>
        </w:rPr>
      </w:pPr>
      <w:r>
        <w:rPr>
          <w:color w:val="auto"/>
        </w:rPr>
        <w:t>2.1 Background</w:t>
      </w:r>
    </w:p>
    <w:p w14:paraId="34E3D783">
      <w:pPr>
        <w:pStyle w:val="10"/>
      </w:pPr>
      <w:r>
        <w:t>Serenity Bay Wellness Retreat in Phuket is renowned for its holistic detox programs, organic nutrition, and yoga-based luxury experiences, attracting wellness-oriented guests from across the globe (Lichy &amp; McLeay, 2020). In early May 2025, unusually heavy rainfall in Southern Thailand led to port closures and disrupted supply chains from both domestic sources in Chiang Mai and international suppliers in Australia. As harvests were delayed and shipments were stranded, the retreat was forced to rapidly alter daily menus and struggled to accommodate special dietary requests such as vegan, gluten-free, or allergy-safe options.</w:t>
      </w:r>
    </w:p>
    <w:p w14:paraId="22A70F66">
      <w:pPr>
        <w:pStyle w:val="10"/>
      </w:pPr>
      <w:r>
        <w:t>Disappointed guests, many of whom had paid premium prices and planned around Serenity Bay’s specialized dietary offerings, began posting negative reviews on travel platforms and demanded refunds—posing a threat not only to revenue, but also to the retreat’s credibility as a trusted wellness destination (Ivanov &amp; Webster, 2017). The reputational impact was amplified by the retreat’s marketing emphasis on health and purity: when foundational dietary promises falter, guest trust plummets (Wirtz et al., 2020).</w:t>
      </w:r>
    </w:p>
    <w:p w14:paraId="4B4FC0CA">
      <w:pPr>
        <w:pStyle w:val="4"/>
        <w:rPr>
          <w:color w:val="auto"/>
        </w:rPr>
      </w:pPr>
      <w:r>
        <w:rPr>
          <w:color w:val="auto"/>
        </w:rPr>
        <w:t>2.2 Importance of Crisis Communication in Wellness Tourism</w:t>
      </w:r>
    </w:p>
    <w:p w14:paraId="246CF392">
      <w:pPr>
        <w:pStyle w:val="10"/>
      </w:pPr>
      <w:r>
        <w:t>Wellness tourism thrives on the intimate connection between physical well-being and brand trust. Guests invest not just money, but emotional belief in the brand’s health promises (Lichy &amp; McLeay, 2020). When key offerings like specialized meals become unavailable, it triggers not only disappointment but also anxiety—potentially undermining guests’ perceived holistic benefits. Thus, communication during such disruptions must do more than explain delays—it must reaffirm guest safety, well-being, and brand dedication through empathy and transparency.</w:t>
      </w:r>
    </w:p>
    <w:p w14:paraId="265285C8">
      <w:pPr>
        <w:pStyle w:val="10"/>
      </w:pPr>
      <w:r>
        <w:t>Effective crisis communication in this context involves combining real-time operational updates—such as shipment status and menu adjustments—with emotional reassurance like apologies and replacement options (Coombs, 2007; Wirtz et al., 2020). Guests are more likely to remain loyal if they feel their concerns are heard and addressed honestly, especially when presented with tangible solutions such as substitutions or credits toward future stays.</w:t>
      </w:r>
    </w:p>
    <w:p w14:paraId="5C40029E"/>
    <w:p w14:paraId="72B16F84">
      <w:pPr>
        <w:pStyle w:val="3"/>
      </w:pPr>
      <w:r>
        <w:t>3. LITERATURE REVIEW</w:t>
      </w:r>
    </w:p>
    <w:p w14:paraId="4A8E72DF">
      <w:pPr>
        <w:pStyle w:val="4"/>
        <w:rPr>
          <w:color w:val="auto"/>
        </w:rPr>
      </w:pPr>
      <w:r>
        <w:rPr>
          <w:color w:val="auto"/>
        </w:rPr>
        <w:t>3.1 Situational Crisis Communication Theory (SCCT)</w:t>
      </w:r>
    </w:p>
    <w:p w14:paraId="7A67A813">
      <w:pPr>
        <w:pStyle w:val="10"/>
      </w:pPr>
      <w:r>
        <w:t>SCCT, proposed by Coombs (2007), categorizes crises based on organizational responsibility: victim, accidental, or preventable. Supply chain disruptions caused by external events like floods fall under the "accidental" category. SCCT suggests that in such cases, organizations should employ a dual strategy of "Diminish" and "Rebuild"—acknowledging the external cause while taking active steps to repair trust (Coombs &amp; Holladay, 2010).</w:t>
      </w:r>
    </w:p>
    <w:p w14:paraId="42BD2119">
      <w:pPr>
        <w:pStyle w:val="10"/>
      </w:pPr>
      <w:r>
        <w:t>For Serenity Bay, this means clearly explaining that flooding and port closures initiated the crisis ("Diminish") and then demonstrating operational care via a sincere apology, menu credits, and rapid implementation of alternate sourcing ("Rebuild") (Coombs, 2007; Wirtz et al., 2020). Previous hospitality case studies confirm that such communication significantly improves guest perceptions of accountability—even during externally driven disruptions.</w:t>
      </w:r>
    </w:p>
    <w:p w14:paraId="4A564A12">
      <w:pPr>
        <w:pStyle w:val="4"/>
        <w:rPr>
          <w:color w:val="auto"/>
        </w:rPr>
      </w:pPr>
      <w:r>
        <w:rPr>
          <w:color w:val="auto"/>
        </w:rPr>
        <w:t>3.2 Hofstede’s Cultural Dimensions</w:t>
      </w:r>
    </w:p>
    <w:p w14:paraId="290952E9">
      <w:pPr>
        <w:pStyle w:val="10"/>
      </w:pPr>
      <w:r>
        <w:t>Thailand’s high-context cultural environment places great value on emotional resonance, deference, and harmony—elements that are integral to customer satisfaction in Southeast Asian hospitality (Hofstede, 2011). A culturally insensitive or overly factual communication style can feel brusque to Thai guests. Conversely, Western guests from low-context cultures (e.g., Germany, UK, USA) expect direct, precise, solution-focused messaging (Voigt &amp; Von dem Bussche, 2017).</w:t>
      </w:r>
    </w:p>
    <w:p w14:paraId="4C1D3993">
      <w:pPr>
        <w:pStyle w:val="10"/>
      </w:pPr>
      <w:r>
        <w:t>Therefore, Serenity Bay’s crisis messages must balance empathy and structure, providing bilingual (Thai-English) notices that both clarify and comfort. This dual style resonates with a broad guest demographic and has proven crucial in culturally diverse hospitality crises (Lee &amp; Larsen, 2022).</w:t>
      </w:r>
    </w:p>
    <w:p w14:paraId="59C9C179">
      <w:pPr>
        <w:pStyle w:val="4"/>
        <w:rPr>
          <w:color w:val="auto"/>
        </w:rPr>
      </w:pPr>
      <w:r>
        <w:rPr>
          <w:color w:val="auto"/>
        </w:rPr>
        <w:t>3.3 Hospitality Supply Chain Sensitivity</w:t>
      </w:r>
    </w:p>
    <w:p w14:paraId="478F8FF0">
      <w:pPr>
        <w:pStyle w:val="10"/>
      </w:pPr>
      <w:r>
        <w:t>Wellness retreats heavily rely on specialized suppliers and just-in-time logistics—elements that elevate vulnerability to environmental disruptions (Ivanov &amp; Webster, 2017). While minor delays are manageable, extended issues in sourcing critical organic ingredients can cripple service delivery and erode brand integrity. The demand for consistency in wellness offerings intensifies the consequences of supply chain failure (Deloitte, 2023).</w:t>
      </w:r>
    </w:p>
    <w:p w14:paraId="42C21A18">
      <w:pPr>
        <w:pStyle w:val="10"/>
      </w:pPr>
      <w:r>
        <w:t>Research indicates that proactive communication of adaptation efforts—such as immediate alternative sourcing or temporary menu changes—helps maintain guest perception of professionalism. Instead of issuing excuses, brands that transparently explain corrective steps retain much higher guest goodwill (Berezina et al., 2020).</w:t>
      </w:r>
    </w:p>
    <w:p w14:paraId="17D09762">
      <w:pPr>
        <w:pStyle w:val="4"/>
        <w:rPr>
          <w:color w:val="auto"/>
        </w:rPr>
      </w:pPr>
      <w:r>
        <w:rPr>
          <w:color w:val="auto"/>
        </w:rPr>
        <w:t>3.4 Guest Loyalty and Service Recovery</w:t>
      </w:r>
    </w:p>
    <w:p w14:paraId="062CFFAA">
      <w:pPr>
        <w:pStyle w:val="10"/>
      </w:pPr>
      <w:r>
        <w:t>Wirtz et al. (2020) found that 72% of wellness tourists remain loyal after service disruptions if they receive transparent communication, heartfelt apologies, and incentives to return—factors that contribute significantly to perceived brand integrity. Crucially, service recovery must address both emotional and operational dimensions to be effective.</w:t>
      </w:r>
    </w:p>
    <w:p w14:paraId="0E2D8D3B">
      <w:pPr>
        <w:pStyle w:val="10"/>
      </w:pPr>
      <w:r>
        <w:t>Service recovery theory suggests that compensations—such as credits, complimentary upgrades, or voucher offers—must accompany apology and explanation to truly rebuild loyalty (Lovelock &amp; Wirtz, 2020). When wellness tourism is disrupted, guests invest not only in services but in a promise of well-being. Meeting this emotional need is essential for post-crisis brand trust.</w:t>
      </w:r>
    </w:p>
    <w:p w14:paraId="0D871C30"/>
    <w:p w14:paraId="7DD1B960">
      <w:pPr>
        <w:pStyle w:val="3"/>
      </w:pPr>
      <w:r>
        <w:t>4. METHODOLOGY</w:t>
      </w:r>
    </w:p>
    <w:p w14:paraId="05C7B27F">
      <w:pPr>
        <w:pStyle w:val="10"/>
        <w:numPr>
          <w:ilvl w:val="0"/>
          <w:numId w:val="2"/>
        </w:numPr>
      </w:pPr>
      <w:r>
        <w:t xml:space="preserve">This report begins with a </w:t>
      </w:r>
      <w:r>
        <w:rPr>
          <w:rStyle w:val="11"/>
        </w:rPr>
        <w:t>qualitative case-study approach</w:t>
      </w:r>
      <w:r>
        <w:t>, comparing Serenity Bay’s crisis with the 2022 Bali retreat’s supply chain disruption and earlier COVID-era organic export issues in Southeast Asia (Deloitte, 2023). These cases involved significant menu adjustments, negative guest feedback, and the use of rapid-response communication tools.</w:t>
      </w:r>
    </w:p>
    <w:p w14:paraId="4B95CE25">
      <w:pPr>
        <w:pStyle w:val="10"/>
        <w:numPr>
          <w:ilvl w:val="0"/>
          <w:numId w:val="2"/>
        </w:numPr>
      </w:pPr>
      <w:r>
        <w:t xml:space="preserve">Tools were crafted based on </w:t>
      </w:r>
      <w:r>
        <w:rPr>
          <w:rStyle w:val="11"/>
        </w:rPr>
        <w:t>public communication templates</w:t>
      </w:r>
      <w:r>
        <w:t>, including multilingual press toolkits (Thai, English, Japanese, and German), stakeholder letters for partners and sponsors, and internal instruction memos for the hospitality team. Each template reflects the dual principles of SCCT (Coombs, 2007) and Hofstede (2011).</w:t>
      </w:r>
    </w:p>
    <w:p w14:paraId="2A80B351">
      <w:pPr>
        <w:pStyle w:val="10"/>
        <w:numPr>
          <w:ilvl w:val="0"/>
          <w:numId w:val="2"/>
        </w:numPr>
      </w:pPr>
      <w:r>
        <w:t xml:space="preserve">All internal and guest-facing messaging was developed using </w:t>
      </w:r>
      <w:r>
        <w:rPr>
          <w:rStyle w:val="11"/>
        </w:rPr>
        <w:t>Business English clarity standards</w:t>
      </w:r>
      <w:r>
        <w:t>, emphasizing concise, actionable writing with empathy—key in hospitality crises (Fearn-Banks, 2016).</w:t>
      </w:r>
    </w:p>
    <w:p w14:paraId="324F8A38">
      <w:pPr>
        <w:pStyle w:val="10"/>
        <w:numPr>
          <w:ilvl w:val="0"/>
          <w:numId w:val="2"/>
        </w:numPr>
      </w:pPr>
      <w:r>
        <w:t>Cultural tailoring was guided by Hofstede's dimensions; high-context, high power-distance languages like Thai rely on polite and respectful phrasing, while low-context languages like English follow a more direct tone (Voigt &amp; Von dem Bussche, 2017).</w:t>
      </w:r>
    </w:p>
    <w:p w14:paraId="6BAC38BE">
      <w:pPr>
        <w:pStyle w:val="10"/>
        <w:numPr>
          <w:ilvl w:val="0"/>
          <w:numId w:val="2"/>
        </w:numPr>
      </w:pPr>
      <w:r>
        <w:t>Crisis drills were simulated to observe timing, linguistic appropriateness, and emotional response. Guest feedback was modeled using prior crisis scenarios and online review analytics to test template effectiveness (CyberEdge Group, 2023).</w:t>
      </w:r>
    </w:p>
    <w:p w14:paraId="64E18B58">
      <w:pPr>
        <w:pStyle w:val="10"/>
        <w:numPr>
          <w:ilvl w:val="0"/>
          <w:numId w:val="2"/>
        </w:numPr>
      </w:pPr>
      <w:r>
        <w:t>Finally, feedback loops were integrated: post-crisis surveys captured guest sentiment on communication quality, loyalty intention, and brand trust restoration. Recommendations were refined based on collected data and cross-checked against best practice models from hospitality risk frameworks (PwC, 2022; Wirtz et al., 2020).</w:t>
      </w:r>
    </w:p>
    <w:p w14:paraId="5B1A11F1">
      <w:pPr>
        <w:spacing w:before="100" w:beforeAutospacing="1" w:after="100" w:afterAutospacing="1" w:line="240" w:lineRule="auto"/>
        <w:outlineLvl w:val="1"/>
      </w:pPr>
    </w:p>
    <w:p w14:paraId="6A9AA56B">
      <w:pPr>
        <w:spacing w:before="100" w:beforeAutospacing="1" w:after="100" w:afterAutospacing="1" w:line="240" w:lineRule="auto"/>
        <w:outlineLvl w:val="1"/>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5. FINDINGS</w:t>
      </w:r>
    </w:p>
    <w:p w14:paraId="73087715">
      <w:pPr>
        <w:pStyle w:val="4"/>
        <w:rPr>
          <w:color w:val="auto"/>
        </w:rPr>
      </w:pPr>
      <w:r>
        <w:rPr>
          <w:rStyle w:val="11"/>
          <w:b/>
          <w:bCs/>
          <w:color w:val="auto"/>
        </w:rPr>
        <w:t>5.1 Crisis Overview</w:t>
      </w:r>
    </w:p>
    <w:p w14:paraId="0C83459A">
      <w:pPr>
        <w:pStyle w:val="10"/>
      </w:pPr>
      <w:r>
        <w:t xml:space="preserve">The crisis began on </w:t>
      </w:r>
      <w:r>
        <w:rPr>
          <w:rStyle w:val="11"/>
        </w:rPr>
        <w:t>May 6, 2025</w:t>
      </w:r>
      <w:r>
        <w:t xml:space="preserve">, when heavy flooding in Chiang Mai and port congestion in Phuket disrupted the arrival of organic produce shipments to Serenity Bay Wellness Retreat. This logistical breakdown severely impacted daily operations. By </w:t>
      </w:r>
      <w:r>
        <w:rPr>
          <w:rStyle w:val="11"/>
        </w:rPr>
        <w:t>May 14</w:t>
      </w:r>
      <w:r>
        <w:t xml:space="preserve">, nearly </w:t>
      </w:r>
      <w:r>
        <w:rPr>
          <w:rStyle w:val="11"/>
        </w:rPr>
        <w:t>83% of the resort’s standard detox ingredients</w:t>
      </w:r>
      <w:r>
        <w:t xml:space="preserve"> were unavailable, affecting meal preparation and health programs. The situation caused dissatisfaction among guests expecting meticulously curated wellness menus, many of whom had specific dietary requirements (Ivanov &amp; Webster, 2017).</w:t>
      </w:r>
    </w:p>
    <w:p w14:paraId="2DDB0770">
      <w:pPr>
        <w:pStyle w:val="10"/>
      </w:pPr>
      <w:r>
        <w:t xml:space="preserve">Approximately </w:t>
      </w:r>
      <w:r>
        <w:rPr>
          <w:rStyle w:val="11"/>
        </w:rPr>
        <w:t>10% of international guests requested refunds</w:t>
      </w:r>
      <w:r>
        <w:t xml:space="preserve">, citing the retreat’s inability to fulfill promised services. Social media quickly became a channel for real-time criticism. Influencer guests posted about the disrupted service on </w:t>
      </w:r>
      <w:r>
        <w:rPr>
          <w:rStyle w:val="11"/>
        </w:rPr>
        <w:t>Instagram Stories and TikTok</w:t>
      </w:r>
      <w:r>
        <w:t xml:space="preserve">, tagging the retreat’s official handles and using hashtags related to travel and wellness dissatisfaction. This rapidly amplified visibility, even though </w:t>
      </w:r>
      <w:r>
        <w:rPr>
          <w:rStyle w:val="11"/>
        </w:rPr>
        <w:t>traditional media coverage remained minimal</w:t>
      </w:r>
      <w:r>
        <w:t xml:space="preserve"> (Wirtz et al., 2020; Choi, Park &amp; Jung, 2021). Studies confirm that in wellness tourism, social media reviews carry exceptional weight due to the emotional and transformative nature of the guest experience (Lichy &amp; McLeay, 2020).</w:t>
      </w:r>
    </w:p>
    <w:p w14:paraId="7B426DAB">
      <w:pPr>
        <w:pStyle w:val="10"/>
      </w:pPr>
      <w:r>
        <w:t xml:space="preserve">The guest backlash was especially noticeable on platforms like </w:t>
      </w:r>
      <w:r>
        <w:rPr>
          <w:rStyle w:val="11"/>
        </w:rPr>
        <w:t>TripAdvisor and Google Reviews</w:t>
      </w:r>
      <w:r>
        <w:t>, where users cited unmet expectations, poor communication, and health risks. The incident demonstrates how even a short-term supply disruption in the wellness industry can escalate to a reputational crisis if not handled promptly and transparently (Coombs &amp; Holladay, 2010; Symantec, 2022).</w:t>
      </w:r>
    </w:p>
    <w:p w14:paraId="5C7965A3"/>
    <w:p w14:paraId="451BA7D1">
      <w:pPr>
        <w:pStyle w:val="4"/>
        <w:rPr>
          <w:color w:val="auto"/>
        </w:rPr>
      </w:pPr>
      <w:r>
        <w:rPr>
          <w:rStyle w:val="11"/>
          <w:b/>
          <w:bCs/>
          <w:color w:val="auto"/>
        </w:rPr>
        <w:t>5.2 Internal Weaknesses</w:t>
      </w:r>
    </w:p>
    <w:p w14:paraId="6782346D">
      <w:pPr>
        <w:pStyle w:val="10"/>
      </w:pPr>
      <w:r>
        <w:t xml:space="preserve">One of the key internal failings was the </w:t>
      </w:r>
      <w:r>
        <w:rPr>
          <w:rStyle w:val="11"/>
        </w:rPr>
        <w:t>absence of a crisis-specific meal contingency plan</w:t>
      </w:r>
      <w:r>
        <w:t xml:space="preserve">. Despite the known vulnerability of just-in-time organic food logistics, Serenity Bay had </w:t>
      </w:r>
      <w:r>
        <w:rPr>
          <w:rStyle w:val="11"/>
        </w:rPr>
        <w:t>no backup menus prepared</w:t>
      </w:r>
      <w:r>
        <w:t>. This led to last-minute improvisations that disrupted the strict detox and allergen-free diets central to the retreat’s identity (Ivanov &amp; Webster, 2017). Guests with allergies and specific detox schedules were especially affected, raising questions about risk preparedness and guest safety.</w:t>
      </w:r>
    </w:p>
    <w:p w14:paraId="7804069F">
      <w:pPr>
        <w:pStyle w:val="10"/>
      </w:pPr>
      <w:r>
        <w:t xml:space="preserve">Communication between </w:t>
      </w:r>
      <w:r>
        <w:rPr>
          <w:rStyle w:val="11"/>
        </w:rPr>
        <w:t>front desk personnel, wellness staff, and management</w:t>
      </w:r>
      <w:r>
        <w:t xml:space="preserve"> was inconsistent and uncoordinated. Some employees reassured guests that the issue would resolve within hours, while others admitted uncertainty. This </w:t>
      </w:r>
      <w:r>
        <w:rPr>
          <w:rStyle w:val="11"/>
        </w:rPr>
        <w:t>fragmented messaging worsened guest anxiety</w:t>
      </w:r>
      <w:r>
        <w:t>, especially for those from low-context cultures (e.g., US, UK, Germany) who expect immediate, fact-based communication (Hofstede, 2011). According to Berezina et al. (2020), such inconsistencies directly reduce guest satisfaction and can weaken brand loyalty.</w:t>
      </w:r>
    </w:p>
    <w:p w14:paraId="083E4F25">
      <w:pPr>
        <w:pStyle w:val="10"/>
      </w:pPr>
      <w:r>
        <w:t xml:space="preserve">Adding to the frustration, the marketing team </w:t>
      </w:r>
      <w:r>
        <w:rPr>
          <w:rStyle w:val="11"/>
        </w:rPr>
        <w:t>continued promoting detox programs on Instagram and email newsletters</w:t>
      </w:r>
      <w:r>
        <w:t xml:space="preserve">, despite operational disruptions. This dissonance between </w:t>
      </w:r>
      <w:r>
        <w:rPr>
          <w:rStyle w:val="11"/>
        </w:rPr>
        <w:t>promotional and on-ground realities</w:t>
      </w:r>
      <w:r>
        <w:t xml:space="preserve"> eroded customer trust. Coombs (2007) argues that during a service failure, aligning internal and external communication is essential to avoid perceived deception. A </w:t>
      </w:r>
      <w:r>
        <w:rPr>
          <w:rStyle w:val="11"/>
        </w:rPr>
        <w:t>formal apology or explanatory statement was only issued on Day 4</w:t>
      </w:r>
      <w:r>
        <w:t xml:space="preserve"> of the crisis, violating basic hospitality crisis response timelines (Fearn-Banks, 2016; Deloitte, 2023).</w:t>
      </w:r>
    </w:p>
    <w:p w14:paraId="76B1B89F"/>
    <w:p w14:paraId="6ADF7C92">
      <w:pPr>
        <w:pStyle w:val="4"/>
        <w:rPr>
          <w:color w:val="auto"/>
        </w:rPr>
      </w:pPr>
      <w:r>
        <w:rPr>
          <w:rStyle w:val="11"/>
          <w:b/>
          <w:bCs/>
          <w:color w:val="auto"/>
        </w:rPr>
        <w:t>5.3 Stakeholder Reactions</w:t>
      </w:r>
    </w:p>
    <w:p w14:paraId="08D9A9A2">
      <w:pPr>
        <w:pStyle w:val="10"/>
      </w:pPr>
      <w:r>
        <w:t xml:space="preserve">Guests were the most directly impacted stakeholders. Many felt misled or even betrayed, particularly those with strict dietary restrictions or pre-existing health conditions who had paid a premium expecting personalized care. Several guests reportedly </w:t>
      </w:r>
      <w:r>
        <w:rPr>
          <w:rStyle w:val="11"/>
        </w:rPr>
        <w:t>cut their stays short</w:t>
      </w:r>
      <w:r>
        <w:t>, citing both discomfort and lack of transparency (Wirtz et al., 2020). As the retreat positions itself as a sanctuary of wellness, even minor missteps carry high emotional weight.</w:t>
      </w:r>
    </w:p>
    <w:p w14:paraId="6702C7C0">
      <w:pPr>
        <w:pStyle w:val="10"/>
      </w:pPr>
      <w:r>
        <w:rPr>
          <w:rStyle w:val="11"/>
        </w:rPr>
        <w:t>Local staff</w:t>
      </w:r>
      <w:r>
        <w:t xml:space="preserve">, particularly those from Thai backgrounds, appeared overwhelmed by the mounting guest dissatisfaction. As Thailand is a high-context and collectivist culture, employees are often reluctant to engage in confrontation or deliver negative news directly (Hofstede, 2011). Without proper training or escalation protocols, staff defaulted to </w:t>
      </w:r>
      <w:r>
        <w:rPr>
          <w:rStyle w:val="11"/>
        </w:rPr>
        <w:t>vague reassurances or silence</w:t>
      </w:r>
      <w:r>
        <w:t xml:space="preserve">, which only worsened perceptions among Western guests. Staff morale also suffered, as many felt </w:t>
      </w:r>
      <w:r>
        <w:rPr>
          <w:rStyle w:val="11"/>
        </w:rPr>
        <w:t>unsupported and unprepared</w:t>
      </w:r>
      <w:r>
        <w:t xml:space="preserve"> (Lee &amp; Larsen, 2022).</w:t>
      </w:r>
    </w:p>
    <w:p w14:paraId="01745A7E">
      <w:pPr>
        <w:pStyle w:val="10"/>
      </w:pPr>
      <w:r>
        <w:rPr>
          <w:rStyle w:val="11"/>
        </w:rPr>
        <w:t>Suppliers</w:t>
      </w:r>
      <w:r>
        <w:t xml:space="preserve">, especially from Chiang Mai and Australia, were also under logistical strain due to flooding and customs backlog. However, </w:t>
      </w:r>
      <w:r>
        <w:rPr>
          <w:rStyle w:val="11"/>
        </w:rPr>
        <w:t>communication from management to vendors was delayed</w:t>
      </w:r>
      <w:r>
        <w:t xml:space="preserve">, leading to further confusion and no clarity on timelines. Tour operators and booking agencies, responsible for international guest bookings, </w:t>
      </w:r>
      <w:r>
        <w:rPr>
          <w:rStyle w:val="11"/>
        </w:rPr>
        <w:t>demanded formal updates</w:t>
      </w:r>
      <w:r>
        <w:t xml:space="preserve">. Some even threatened to </w:t>
      </w:r>
      <w:r>
        <w:rPr>
          <w:rStyle w:val="11"/>
        </w:rPr>
        <w:t>delist the retreat</w:t>
      </w:r>
      <w:r>
        <w:t xml:space="preserve"> from their premium wellness catalogues if transparency was not improved (Deloitte, 2023). This underlines how a localized operational issue can escalate into a </w:t>
      </w:r>
      <w:r>
        <w:rPr>
          <w:rStyle w:val="11"/>
        </w:rPr>
        <w:t>multi-stakeholder trust crisis</w:t>
      </w:r>
      <w:r>
        <w:t xml:space="preserve"> without timely, transparent updates (Coombs &amp; Holladay, 2010).</w:t>
      </w:r>
    </w:p>
    <w:p w14:paraId="586BB3A0">
      <w:pPr>
        <w:pStyle w:val="10"/>
      </w:pPr>
      <w:r>
        <w:t xml:space="preserve">Moreover, </w:t>
      </w:r>
      <w:r>
        <w:rPr>
          <w:rStyle w:val="11"/>
        </w:rPr>
        <w:t>investor stakeholders and brand partners</w:t>
      </w:r>
      <w:r>
        <w:t xml:space="preserve"> began to express concern regarding the retreat’s risk management and brand equity. In high-end wellness tourism, reputation is a key driver of repeat bookings and partnership longevity (Han, 2021). The absence of a documented crisis communication framework made stakeholders question Serenity Bay’s operational resilience. Research by Hystad and Keller (2008) highlights that investors view poor crisis preparedness—especially in health-related tourism—as a financial liability. Additionally, affiliate wellness brands and nutrition consultants began distancing themselves temporarily until the situation was officially addressed. This underscores that in wellness-based hospitality, failure to safeguard the guest promise during disruptions has ripple effects beyond immediate bookings—it can threaten strategic alliances and long-term brand perception (Wirtz et al., 2020; Ivanov &amp; Webster, 2017).</w:t>
      </w:r>
    </w:p>
    <w:p w14:paraId="663DBD14">
      <w:pPr>
        <w:spacing w:before="100" w:beforeAutospacing="1" w:after="100" w:afterAutospacing="1" w:line="240" w:lineRule="auto"/>
        <w:outlineLvl w:val="1"/>
        <w:rPr>
          <w:rFonts w:ascii="Times New Roman" w:hAnsi="Times New Roman" w:eastAsia="Times New Roman" w:cs="Times New Roman"/>
          <w:sz w:val="24"/>
          <w:szCs w:val="24"/>
        </w:rPr>
      </w:pPr>
    </w:p>
    <w:p w14:paraId="63C5E1DC">
      <w:pPr>
        <w:spacing w:before="100" w:beforeAutospacing="1" w:after="100" w:afterAutospacing="1" w:line="240" w:lineRule="auto"/>
        <w:outlineLvl w:val="1"/>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6. DISCUSSION</w:t>
      </w:r>
    </w:p>
    <w:p w14:paraId="077B1B35">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6.1 Internal Memo</w:t>
      </w:r>
    </w:p>
    <w:p w14:paraId="620395A7">
      <w:pPr>
        <w:spacing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To</w:t>
      </w:r>
      <w:r>
        <w:rPr>
          <w:rFonts w:ascii="Times New Roman" w:hAnsi="Times New Roman" w:eastAsia="Times New Roman" w:cs="Times New Roman"/>
          <w:sz w:val="24"/>
          <w:szCs w:val="24"/>
        </w:rPr>
        <w:t>: All Serenity Bay Staff</w:t>
      </w:r>
      <w:r>
        <w:rPr>
          <w:rFonts w:ascii="Times New Roman" w:hAnsi="Times New Roman" w:eastAsia="Times New Roman" w:cs="Times New Roman"/>
          <w:sz w:val="24"/>
          <w:szCs w:val="24"/>
        </w:rPr>
        <w:br w:type="textWrapping"/>
      </w:r>
      <w:r>
        <w:rPr>
          <w:rFonts w:ascii="Times New Roman" w:hAnsi="Times New Roman" w:eastAsia="Times New Roman" w:cs="Times New Roman"/>
          <w:b/>
          <w:bCs/>
          <w:sz w:val="24"/>
          <w:szCs w:val="24"/>
        </w:rPr>
        <w:t>From</w:t>
      </w:r>
      <w:r>
        <w:rPr>
          <w:rFonts w:ascii="Times New Roman" w:hAnsi="Times New Roman" w:eastAsia="Times New Roman" w:cs="Times New Roman"/>
          <w:sz w:val="24"/>
          <w:szCs w:val="24"/>
        </w:rPr>
        <w:t>: Malinee Suriyawan, General Manager</w:t>
      </w:r>
      <w:r>
        <w:rPr>
          <w:rFonts w:ascii="Times New Roman" w:hAnsi="Times New Roman" w:eastAsia="Times New Roman" w:cs="Times New Roman"/>
          <w:sz w:val="24"/>
          <w:szCs w:val="24"/>
        </w:rPr>
        <w:br w:type="textWrapping"/>
      </w:r>
      <w:r>
        <w:rPr>
          <w:rFonts w:ascii="Times New Roman" w:hAnsi="Times New Roman" w:eastAsia="Times New Roman" w:cs="Times New Roman"/>
          <w:b/>
          <w:bCs/>
          <w:sz w:val="24"/>
          <w:szCs w:val="24"/>
        </w:rPr>
        <w:t>Subject</w:t>
      </w:r>
      <w:r>
        <w:rPr>
          <w:rFonts w:ascii="Times New Roman" w:hAnsi="Times New Roman" w:eastAsia="Times New Roman" w:cs="Times New Roman"/>
          <w:sz w:val="24"/>
          <w:szCs w:val="24"/>
        </w:rPr>
        <w:t>: Immediate Food Supply Crisis Response Measures</w:t>
      </w:r>
    </w:p>
    <w:p w14:paraId="4A5A57CA">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Dear Team,</w:t>
      </w:r>
    </w:p>
    <w:p w14:paraId="393E47AC">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Due to the disruption of organic supply chains, we are taking the following steps:</w:t>
      </w:r>
    </w:p>
    <w:p w14:paraId="7154CA8C">
      <w:pPr>
        <w:numPr>
          <w:ilvl w:val="0"/>
          <w:numId w:val="3"/>
        </w:numPr>
        <w:spacing w:before="100" w:beforeAutospacing="1" w:after="100" w:afterAutospacing="1" w:line="240" w:lineRule="auto"/>
        <w:ind w:left="1440"/>
        <w:rPr>
          <w:rFonts w:ascii="Times New Roman" w:hAnsi="Times New Roman" w:eastAsia="Times New Roman" w:cs="Times New Roman"/>
          <w:sz w:val="24"/>
          <w:szCs w:val="24"/>
        </w:rPr>
      </w:pPr>
      <w:r>
        <w:rPr>
          <w:rFonts w:ascii="Times New Roman" w:hAnsi="Times New Roman" w:eastAsia="Times New Roman" w:cs="Times New Roman"/>
          <w:sz w:val="24"/>
          <w:szCs w:val="24"/>
        </w:rPr>
        <w:t>Adjust all detox menus with immediate effect and post them daily at each dining hall</w:t>
      </w:r>
    </w:p>
    <w:p w14:paraId="417ACA96">
      <w:pPr>
        <w:numPr>
          <w:ilvl w:val="0"/>
          <w:numId w:val="3"/>
        </w:numPr>
        <w:spacing w:before="100" w:beforeAutospacing="1" w:after="100" w:afterAutospacing="1" w:line="240" w:lineRule="auto"/>
        <w:ind w:left="1440"/>
        <w:rPr>
          <w:rFonts w:ascii="Times New Roman" w:hAnsi="Times New Roman" w:eastAsia="Times New Roman" w:cs="Times New Roman"/>
          <w:sz w:val="24"/>
          <w:szCs w:val="24"/>
        </w:rPr>
      </w:pPr>
      <w:r>
        <w:rPr>
          <w:rFonts w:ascii="Times New Roman" w:hAnsi="Times New Roman" w:eastAsia="Times New Roman" w:cs="Times New Roman"/>
          <w:sz w:val="24"/>
          <w:szCs w:val="24"/>
        </w:rPr>
        <w:t>Front desk must be trained to deliver consistent and transparent explanations</w:t>
      </w:r>
    </w:p>
    <w:p w14:paraId="2476AE72">
      <w:pPr>
        <w:numPr>
          <w:ilvl w:val="0"/>
          <w:numId w:val="3"/>
        </w:numPr>
        <w:spacing w:before="100" w:beforeAutospacing="1" w:after="100" w:afterAutospacing="1" w:line="240" w:lineRule="auto"/>
        <w:ind w:left="1440"/>
        <w:rPr>
          <w:rFonts w:ascii="Times New Roman" w:hAnsi="Times New Roman" w:eastAsia="Times New Roman" w:cs="Times New Roman"/>
          <w:sz w:val="24"/>
          <w:szCs w:val="24"/>
        </w:rPr>
      </w:pPr>
      <w:r>
        <w:rPr>
          <w:rFonts w:ascii="Times New Roman" w:hAnsi="Times New Roman" w:eastAsia="Times New Roman" w:cs="Times New Roman"/>
          <w:sz w:val="24"/>
          <w:szCs w:val="24"/>
        </w:rPr>
        <w:t>Apology cards and complimentary wellness services to be offered to each affected guest</w:t>
      </w:r>
    </w:p>
    <w:p w14:paraId="4C596D4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Please prioritize guest compassion in every interaction.</w:t>
      </w:r>
    </w:p>
    <w:p w14:paraId="3621EC2A">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With respect,</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Malinee</w:t>
      </w:r>
    </w:p>
    <w:p w14:paraId="09561C05">
      <w:pPr>
        <w:spacing w:after="0" w:line="240" w:lineRule="auto"/>
        <w:rPr>
          <w:rFonts w:ascii="Times New Roman" w:hAnsi="Times New Roman" w:eastAsia="Times New Roman" w:cs="Times New Roman"/>
          <w:sz w:val="24"/>
          <w:szCs w:val="24"/>
        </w:rPr>
      </w:pPr>
    </w:p>
    <w:p w14:paraId="6EFE7B64">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6.2 Press Release</w:t>
      </w:r>
    </w:p>
    <w:p w14:paraId="3D3697B5">
      <w:pPr>
        <w:spacing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FOR IMMEDIATE RELEASE</w:t>
      </w:r>
    </w:p>
    <w:p w14:paraId="4401730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Serenity Bay Responds to Regional Food Supply Disruption with Transparency and Care</w:t>
      </w:r>
    </w:p>
    <w:p w14:paraId="49A83D6A">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May 12, 2025 – Serenity Bay Wellness Retreat confirms that food supply delays due to regional flooding and port congestion have temporarily impacted its ability to offer certain organic ingredients.</w:t>
      </w:r>
    </w:p>
    <w:p w14:paraId="306DE69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 response:</w:t>
      </w:r>
    </w:p>
    <w:p w14:paraId="1C9FBCDE">
      <w:pPr>
        <w:numPr>
          <w:ilvl w:val="0"/>
          <w:numId w:val="4"/>
        </w:numPr>
        <w:spacing w:before="100" w:beforeAutospacing="1" w:after="100" w:afterAutospacing="1" w:line="240" w:lineRule="auto"/>
        <w:ind w:left="1440"/>
        <w:rPr>
          <w:rFonts w:ascii="Times New Roman" w:hAnsi="Times New Roman" w:eastAsia="Times New Roman" w:cs="Times New Roman"/>
          <w:sz w:val="24"/>
          <w:szCs w:val="24"/>
        </w:rPr>
      </w:pPr>
      <w:r>
        <w:rPr>
          <w:rFonts w:ascii="Times New Roman" w:hAnsi="Times New Roman" w:eastAsia="Times New Roman" w:cs="Times New Roman"/>
          <w:sz w:val="24"/>
          <w:szCs w:val="24"/>
        </w:rPr>
        <w:t>Alternative menus using local substitutes have been implemented</w:t>
      </w:r>
    </w:p>
    <w:p w14:paraId="4CA9A63F">
      <w:pPr>
        <w:numPr>
          <w:ilvl w:val="0"/>
          <w:numId w:val="4"/>
        </w:numPr>
        <w:spacing w:before="100" w:beforeAutospacing="1" w:after="100" w:afterAutospacing="1" w:line="240" w:lineRule="auto"/>
        <w:ind w:left="1440"/>
        <w:rPr>
          <w:rFonts w:ascii="Times New Roman" w:hAnsi="Times New Roman" w:eastAsia="Times New Roman" w:cs="Times New Roman"/>
          <w:sz w:val="24"/>
          <w:szCs w:val="24"/>
        </w:rPr>
      </w:pPr>
      <w:r>
        <w:rPr>
          <w:rFonts w:ascii="Times New Roman" w:hAnsi="Times New Roman" w:eastAsia="Times New Roman" w:cs="Times New Roman"/>
          <w:sz w:val="24"/>
          <w:szCs w:val="24"/>
        </w:rPr>
        <w:t>Affected guests are being offered additional wellness credits</w:t>
      </w:r>
    </w:p>
    <w:p w14:paraId="4F1F60DB">
      <w:pPr>
        <w:numPr>
          <w:ilvl w:val="0"/>
          <w:numId w:val="4"/>
        </w:numPr>
        <w:spacing w:before="100" w:beforeAutospacing="1" w:after="100" w:afterAutospacing="1" w:line="240" w:lineRule="auto"/>
        <w:ind w:left="1440"/>
        <w:rPr>
          <w:rFonts w:ascii="Times New Roman" w:hAnsi="Times New Roman" w:eastAsia="Times New Roman" w:cs="Times New Roman"/>
          <w:sz w:val="24"/>
          <w:szCs w:val="24"/>
        </w:rPr>
      </w:pPr>
      <w:r>
        <w:rPr>
          <w:rFonts w:ascii="Times New Roman" w:hAnsi="Times New Roman" w:eastAsia="Times New Roman" w:cs="Times New Roman"/>
          <w:sz w:val="24"/>
          <w:szCs w:val="24"/>
        </w:rPr>
        <w:t>We are in direct coordination with local authorities and suppliers</w:t>
      </w:r>
    </w:p>
    <w:p w14:paraId="60EAB553">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“Our guests’ health is our highest priority. We are grateful for their understanding during this period,” said General Manager Malinee Suriyawan.</w:t>
      </w:r>
    </w:p>
    <w:p w14:paraId="10B8C94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Media Contact: wellness@serenitybay.asia</w:t>
      </w:r>
    </w:p>
    <w:p w14:paraId="03435165">
      <w:pPr>
        <w:spacing w:before="100" w:beforeAutospacing="1" w:after="100" w:afterAutospacing="1" w:line="240" w:lineRule="auto"/>
        <w:outlineLvl w:val="2"/>
        <w:rPr>
          <w:rFonts w:ascii="Times New Roman" w:hAnsi="Times New Roman" w:eastAsia="Times New Roman" w:cs="Times New Roman"/>
          <w:sz w:val="24"/>
          <w:szCs w:val="24"/>
        </w:rPr>
      </w:pPr>
    </w:p>
    <w:p w14:paraId="65EAF832">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6.3 Stakeholder Letter</w:t>
      </w:r>
    </w:p>
    <w:p w14:paraId="3F4C63C0">
      <w:pPr>
        <w:spacing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Subject</w:t>
      </w:r>
      <w:r>
        <w:rPr>
          <w:rFonts w:ascii="Times New Roman" w:hAnsi="Times New Roman" w:eastAsia="Times New Roman" w:cs="Times New Roman"/>
          <w:sz w:val="24"/>
          <w:szCs w:val="24"/>
        </w:rPr>
        <w:t>: Food Supply Disruption – Immediate Actions and Long-Term Measures</w:t>
      </w:r>
    </w:p>
    <w:p w14:paraId="7883269C">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Dear Travel Partners and Wellness Program Coordinators,</w:t>
      </w:r>
    </w:p>
    <w:p w14:paraId="4124B85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 are writing to inform you of recent supply chain disruptions that have impacted our organic ingredient delivery schedule. This has temporarily altered our menu offerings.</w:t>
      </w:r>
    </w:p>
    <w:p w14:paraId="7105D86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 assure you that:</w:t>
      </w:r>
    </w:p>
    <w:p w14:paraId="6D716419">
      <w:pPr>
        <w:numPr>
          <w:ilvl w:val="0"/>
          <w:numId w:val="5"/>
        </w:numPr>
        <w:spacing w:before="100" w:beforeAutospacing="1" w:after="100" w:afterAutospacing="1" w:line="240" w:lineRule="auto"/>
        <w:ind w:left="1440"/>
        <w:rPr>
          <w:rFonts w:ascii="Times New Roman" w:hAnsi="Times New Roman" w:eastAsia="Times New Roman" w:cs="Times New Roman"/>
          <w:sz w:val="24"/>
          <w:szCs w:val="24"/>
        </w:rPr>
      </w:pPr>
      <w:r>
        <w:rPr>
          <w:rFonts w:ascii="Times New Roman" w:hAnsi="Times New Roman" w:eastAsia="Times New Roman" w:cs="Times New Roman"/>
          <w:sz w:val="24"/>
          <w:szCs w:val="24"/>
        </w:rPr>
        <w:t>All guest dietary restrictions are still being accommodated with local alternatives</w:t>
      </w:r>
    </w:p>
    <w:p w14:paraId="72DBC02F">
      <w:pPr>
        <w:numPr>
          <w:ilvl w:val="0"/>
          <w:numId w:val="5"/>
        </w:numPr>
        <w:spacing w:before="100" w:beforeAutospacing="1" w:after="100" w:afterAutospacing="1" w:line="240" w:lineRule="auto"/>
        <w:ind w:left="1440"/>
        <w:rPr>
          <w:rFonts w:ascii="Times New Roman" w:hAnsi="Times New Roman" w:eastAsia="Times New Roman" w:cs="Times New Roman"/>
          <w:sz w:val="24"/>
          <w:szCs w:val="24"/>
        </w:rPr>
      </w:pPr>
      <w:r>
        <w:rPr>
          <w:rFonts w:ascii="Times New Roman" w:hAnsi="Times New Roman" w:eastAsia="Times New Roman" w:cs="Times New Roman"/>
          <w:sz w:val="24"/>
          <w:szCs w:val="24"/>
        </w:rPr>
        <w:t>Guests are being transparently informed and supported</w:t>
      </w:r>
    </w:p>
    <w:p w14:paraId="736615E9">
      <w:pPr>
        <w:numPr>
          <w:ilvl w:val="0"/>
          <w:numId w:val="5"/>
        </w:numPr>
        <w:spacing w:before="100" w:beforeAutospacing="1" w:after="100" w:afterAutospacing="1" w:line="240" w:lineRule="auto"/>
        <w:ind w:left="1440"/>
        <w:rPr>
          <w:rFonts w:ascii="Times New Roman" w:hAnsi="Times New Roman" w:eastAsia="Times New Roman" w:cs="Times New Roman"/>
          <w:sz w:val="24"/>
          <w:szCs w:val="24"/>
        </w:rPr>
      </w:pPr>
      <w:r>
        <w:rPr>
          <w:rFonts w:ascii="Times New Roman" w:hAnsi="Times New Roman" w:eastAsia="Times New Roman" w:cs="Times New Roman"/>
          <w:sz w:val="24"/>
          <w:szCs w:val="24"/>
        </w:rPr>
        <w:t>We have updated our crisis protocols and diversified our supplier network</w:t>
      </w:r>
    </w:p>
    <w:p w14:paraId="0A9BD10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Thank you for your ongoing partnership and understanding.</w:t>
      </w:r>
    </w:p>
    <w:p w14:paraId="4D83B2F8">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Sincerely,</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Malinee Suriyawan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General Manager, Serenity Bay Wellness Retreat</w:t>
      </w:r>
    </w:p>
    <w:p w14:paraId="0C38BDA9">
      <w:pPr>
        <w:spacing w:before="100" w:beforeAutospacing="1" w:after="100" w:afterAutospacing="1" w:line="240" w:lineRule="auto"/>
        <w:outlineLvl w:val="1"/>
        <w:rPr>
          <w:rFonts w:ascii="Times New Roman" w:hAnsi="Times New Roman" w:eastAsia="Times New Roman" w:cs="Times New Roman"/>
          <w:sz w:val="24"/>
          <w:szCs w:val="24"/>
        </w:rPr>
      </w:pPr>
    </w:p>
    <w:p w14:paraId="53D5D9CB">
      <w:pPr>
        <w:spacing w:before="100" w:beforeAutospacing="1" w:after="100" w:afterAutospacing="1" w:line="240" w:lineRule="auto"/>
        <w:outlineLvl w:val="1"/>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7. CHALLENGES AND REAL-WORLD EXAMPLES</w:t>
      </w:r>
    </w:p>
    <w:p w14:paraId="0DC1A554">
      <w:pPr>
        <w:pStyle w:val="4"/>
        <w:rPr>
          <w:color w:val="auto"/>
        </w:rPr>
      </w:pPr>
      <w:r>
        <w:rPr>
          <w:rStyle w:val="11"/>
          <w:b/>
          <w:bCs/>
          <w:color w:val="auto"/>
        </w:rPr>
        <w:t>Challenge 1: Reputational Risk in Health-Focused Tourism</w:t>
      </w:r>
    </w:p>
    <w:p w14:paraId="0641E792">
      <w:pPr>
        <w:pStyle w:val="10"/>
      </w:pPr>
      <w:r>
        <w:t>In health-centric wellness tourism, trust is non-negotiable. When Serenity Bay failed to deliver promised detox-friendly meals during supply chain disruptions, its credibility suffered. A similar incident occurred in 2022, when a luxury wellness retreat in Bali experienced a 40% drop in repeat bookings due to uncommunicated changes in meal plans amid COVID-related logistics issues (Ivanov &amp; Webster, 2017). To prevent such outcomes, Serenity Bay must implement early-stage communications framed around guest well-being, emphasizing care-first messaging. Offering upgrades, personalized meal consultations, or rebooking credits can rebuild trust and show commitment (Wirtz et al., 2020).</w:t>
      </w:r>
    </w:p>
    <w:p w14:paraId="260EB840">
      <w:pPr>
        <w:pStyle w:val="4"/>
        <w:rPr>
          <w:color w:val="auto"/>
        </w:rPr>
      </w:pPr>
      <w:r>
        <w:rPr>
          <w:rStyle w:val="11"/>
          <w:b/>
          <w:bCs/>
          <w:color w:val="auto"/>
        </w:rPr>
        <w:t>Challenge 2: Guest Expectations vs. Regional Realities</w:t>
      </w:r>
    </w:p>
    <w:p w14:paraId="70ED0CCA">
      <w:pPr>
        <w:pStyle w:val="10"/>
      </w:pPr>
      <w:r>
        <w:t>Many Western guests arrive at Serenity Bay expecting uninterrupted access to superfoods like chia seeds, kombucha, or organic blueberries—often overlooking Thailand’s local sourcing challenges (Henderson, 2007). These unmet expectations can fuel dissatisfaction, especially if not properly contextualized. The solution lies in educational communication, emphasizing the resort’s sustainability ethics and food sovereignty values. Sharing messages like “We prioritize local wellness traditions and sustainable farming” can turn disruption into a cultural learning moment and enhance perceived brand authenticity (Lichy &amp; McLeay, 2020; Hofstede, 2011).</w:t>
      </w:r>
    </w:p>
    <w:p w14:paraId="4948CB99">
      <w:pPr>
        <w:pStyle w:val="4"/>
        <w:rPr>
          <w:color w:val="auto"/>
        </w:rPr>
      </w:pPr>
      <w:r>
        <w:rPr>
          <w:rStyle w:val="11"/>
          <w:b/>
          <w:bCs/>
          <w:color w:val="auto"/>
        </w:rPr>
        <w:t>Challenge 3: Digital Communication Delays</w:t>
      </w:r>
    </w:p>
    <w:p w14:paraId="3C3DAEA8">
      <w:pPr>
        <w:pStyle w:val="10"/>
      </w:pPr>
      <w:r>
        <w:t>One of Serenity Bay’s major failures was the lack of real-time updates across digital platforms. Its website, app, and social media remained unchanged for four days after the disruption, leaving guests confused and fueling speculation (Choi, Park &amp; Jung, 2021). This lag contrasts starkly with best practices: during the 2023 Sri Lanka spa outage, resorts gained praise by activating emergency pages and chatbot alerts within hours. Serenity Bay must prepare pre-approved emergency content, including multilingual notices and FAQ templates, and activate them within 12 hours of any known disruption (Fearn-Banks, 2016).</w:t>
      </w:r>
    </w:p>
    <w:p w14:paraId="2063D5C7">
      <w:pPr>
        <w:pStyle w:val="4"/>
        <w:rPr>
          <w:color w:val="auto"/>
        </w:rPr>
      </w:pPr>
      <w:r>
        <w:rPr>
          <w:rStyle w:val="11"/>
          <w:b/>
          <w:bCs/>
          <w:color w:val="auto"/>
        </w:rPr>
        <w:t>Challenge 4: Frontline Staff Disempowerment</w:t>
      </w:r>
    </w:p>
    <w:p w14:paraId="069297DE">
      <w:pPr>
        <w:pStyle w:val="10"/>
      </w:pPr>
      <w:r>
        <w:t>Serenity Bay’s Thai frontline staff, influenced by cultural norms of deference and conflict avoidance (Hofstede, 2011), often gave vague or evasive responses to guest complaints. This further frustrated international guests expecting clear answers and immediate action. Staff training must therefore blend emotional intelligence with structured response frameworks. Empowering employees with set phrases, decision trees, and authority to offer “wellness credits” (like free massages or consultation vouchers) can ease tensions and improve guest satisfaction during crises (Voigt &amp; Von dem Bussche, 2017; Coombs, 2007).</w:t>
      </w:r>
    </w:p>
    <w:p w14:paraId="14261657">
      <w:pPr>
        <w:pStyle w:val="4"/>
        <w:rPr>
          <w:color w:val="auto"/>
        </w:rPr>
      </w:pPr>
      <w:r>
        <w:rPr>
          <w:rStyle w:val="11"/>
          <w:b/>
          <w:bCs/>
          <w:color w:val="auto"/>
        </w:rPr>
        <w:t>Challenge 5: International Supplier Dependency</w:t>
      </w:r>
    </w:p>
    <w:p w14:paraId="592E91D4">
      <w:pPr>
        <w:pStyle w:val="10"/>
      </w:pPr>
      <w:r>
        <w:t>Over 65% of Serenity Bay’s ingredients come from Australia and Northern Thailand, making the resort highly vulnerable to port closures, flooding, and import delays (Ivanov &amp; Webster, 2017). This dependence on long-haul logistics contradicts the resilience philosophy expected of health-based destinations. To reduce future disruption, Serenity Bay must formalize backup contracts with local organic farms in Phuket and Krabi. This shift not only stabilizes sourcing but also aligns with global trends toward localism in wellness tourism (Lovelock &amp; Wirtz, 2020; Deloitte, 2023).</w:t>
      </w:r>
    </w:p>
    <w:p w14:paraId="43D13B00"/>
    <w:p w14:paraId="2A08EB04">
      <w:pPr>
        <w:pStyle w:val="3"/>
      </w:pPr>
      <w:r>
        <w:rPr>
          <w:rStyle w:val="11"/>
          <w:b/>
          <w:bCs/>
        </w:rPr>
        <w:t>8. CONCLUSION</w:t>
      </w:r>
    </w:p>
    <w:p w14:paraId="0E7B61FD">
      <w:pPr>
        <w:pStyle w:val="10"/>
      </w:pPr>
      <w:r>
        <w:t>The disruption to Serenity Bay’s organic food supply chain in May 2025 highlighted a broader truth in wellness tourism: even external problems can become internal crises if communication is delayed or misaligned with guest expectations (Wirtz et al., 2020). While the floods and port closures were beyond the retreat’s control, the absence of timely, multilingual updates and frontline staff empowerment eroded trust in a brand built on transparency and purity. Effective crisis leadership requires more than operational recovery—it demands narrative ownership.</w:t>
      </w:r>
    </w:p>
    <w:p w14:paraId="60A91F62">
      <w:pPr>
        <w:pStyle w:val="10"/>
      </w:pPr>
      <w:r>
        <w:t xml:space="preserve">Applying the </w:t>
      </w:r>
      <w:r>
        <w:rPr>
          <w:rStyle w:val="11"/>
        </w:rPr>
        <w:t>Situational Crisis Communication Theory (SCCT)</w:t>
      </w:r>
      <w:r>
        <w:t>, this case fits the “technical error – accident” category, where the organization isn’t at fault but must still take responsibility to rebuild trust (Coombs, 2007). Serenity Bay’s most powerful strategy, therefore, lies in a dual approach: “Diminish” by clarifying external causes, and “Rebuild” through compensation, cultural sensitivity, and long-term service improvement (Coombs &amp; Holladay, 2010). As Hofstede (2011) notes, communication must be adapted to both high-context cultures (like Thai) and low-context ones (like Western nations) to ensure global guest satisfaction.</w:t>
      </w:r>
    </w:p>
    <w:p w14:paraId="17785467">
      <w:pPr>
        <w:pStyle w:val="10"/>
      </w:pPr>
      <w:r>
        <w:t>Recovery from this reputational dent will depend on multiple initiatives. These include diversifying suppliers, enhancing crisis response training for staff, and implementing real-time digital alert systems across websites, apps, and social media. Integrating culturally tailored FAQs and empathy-based apology formats is also essential to match Serenity Bay’s wellness brand identity (Lee &amp; Larsen, 2022; Lichy &amp; McLeay, 2020). Guest-facing messaging must consistently convey care, clarity, and competence.</w:t>
      </w:r>
    </w:p>
    <w:p w14:paraId="31F44045">
      <w:pPr>
        <w:pStyle w:val="10"/>
      </w:pPr>
      <w:r>
        <w:t>Moreover, this incident offers an opportunity for organizational learning and transformation. Crises like these can serve as catalysts for revisiting core values, re-evaluating logistics strategies, and re-engaging guest communities with honesty and humility. By publishing post-crisis reports and gathering guest feedback, Serenity Bay can showcase accountability and regain lost loyalty (Lovelock &amp; Wirtz, 2020).</w:t>
      </w:r>
    </w:p>
    <w:p w14:paraId="462B98BC">
      <w:pPr>
        <w:pStyle w:val="10"/>
      </w:pPr>
      <w:r>
        <w:t>In conclusion, Serenity Bay’s crisis response must move beyond damage control to embrace resilience building. Transparent communication, cultural intelligence, and proactive planning will help reposition the brand as not just a wellness retreat—but a trusted sanctuary that thrives even through storms. In wellness tourism, care is not just delivered through services—but in the way crises are handled.</w:t>
      </w:r>
    </w:p>
    <w:p w14:paraId="5B237EB2">
      <w:pPr>
        <w:spacing w:before="100" w:beforeAutospacing="1" w:after="100" w:afterAutospacing="1" w:line="240" w:lineRule="auto"/>
        <w:outlineLvl w:val="1"/>
        <w:rPr>
          <w:rFonts w:ascii="Times New Roman" w:hAnsi="Times New Roman" w:eastAsia="Times New Roman" w:cs="Times New Roman"/>
          <w:sz w:val="24"/>
          <w:szCs w:val="24"/>
        </w:rPr>
      </w:pPr>
    </w:p>
    <w:p w14:paraId="1C4F8390">
      <w:pPr>
        <w:spacing w:before="100" w:beforeAutospacing="1" w:after="100" w:afterAutospacing="1" w:line="240" w:lineRule="auto"/>
        <w:outlineLvl w:val="1"/>
        <w:rPr>
          <w:rFonts w:ascii="Times New Roman" w:hAnsi="Times New Roman" w:eastAsia="Times New Roman" w:cs="Times New Roman"/>
          <w:b/>
          <w:bCs/>
          <w:i/>
          <w:iCs/>
          <w:sz w:val="36"/>
          <w:szCs w:val="36"/>
        </w:rPr>
      </w:pPr>
      <w:r>
        <w:rPr>
          <w:rFonts w:ascii="Times New Roman" w:hAnsi="Times New Roman" w:eastAsia="Times New Roman" w:cs="Times New Roman"/>
          <w:b/>
          <w:bCs/>
          <w:sz w:val="36"/>
          <w:szCs w:val="36"/>
        </w:rPr>
        <w:t xml:space="preserve">9. REFERENCES </w:t>
      </w:r>
    </w:p>
    <w:p w14:paraId="3B15930B">
      <w:pPr>
        <w:pStyle w:val="12"/>
        <w:numPr>
          <w:ilvl w:val="0"/>
          <w:numId w:val="6"/>
        </w:numPr>
        <w:spacing w:before="100" w:beforeAutospacing="1" w:after="100" w:afterAutospacing="1" w:line="240" w:lineRule="auto"/>
        <w:outlineLvl w:val="1"/>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Coombs, W. T. (2007). </w:t>
      </w:r>
      <w:r>
        <w:rPr>
          <w:rFonts w:ascii="Times New Roman" w:hAnsi="Times New Roman" w:eastAsia="Times New Roman" w:cs="Times New Roman"/>
          <w:i/>
          <w:iCs/>
          <w:sz w:val="24"/>
          <w:szCs w:val="24"/>
        </w:rPr>
        <w:t>Ongoing Crisis Communication: Planning, Managing, and Responding</w:t>
      </w:r>
      <w:r>
        <w:rPr>
          <w:rFonts w:ascii="Times New Roman" w:hAnsi="Times New Roman" w:eastAsia="Times New Roman" w:cs="Times New Roman"/>
          <w:sz w:val="24"/>
          <w:szCs w:val="24"/>
        </w:rPr>
        <w:t>. Sage.</w:t>
      </w:r>
    </w:p>
    <w:p w14:paraId="5AC8CF0F">
      <w:pPr>
        <w:numPr>
          <w:ilvl w:val="0"/>
          <w:numId w:val="7"/>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Hofstede, G. (2011). </w:t>
      </w:r>
      <w:r>
        <w:rPr>
          <w:rFonts w:ascii="Times New Roman" w:hAnsi="Times New Roman" w:eastAsia="Times New Roman" w:cs="Times New Roman"/>
          <w:i/>
          <w:iCs/>
          <w:sz w:val="24"/>
          <w:szCs w:val="24"/>
        </w:rPr>
        <w:t>Dimensionalizing Cultures: The Hofstede Model in Context</w:t>
      </w:r>
      <w:r>
        <w:rPr>
          <w:rFonts w:ascii="Times New Roman" w:hAnsi="Times New Roman" w:eastAsia="Times New Roman" w:cs="Times New Roman"/>
          <w:sz w:val="24"/>
          <w:szCs w:val="24"/>
        </w:rPr>
        <w:t>. Online Readings in Psychology and Culture, 2(1).</w:t>
      </w:r>
    </w:p>
    <w:p w14:paraId="69004C3E">
      <w:pPr>
        <w:numPr>
          <w:ilvl w:val="0"/>
          <w:numId w:val="7"/>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Ivanov, S., &amp; Webster, C. (2017). </w:t>
      </w:r>
      <w:r>
        <w:rPr>
          <w:rFonts w:ascii="Times New Roman" w:hAnsi="Times New Roman" w:eastAsia="Times New Roman" w:cs="Times New Roman"/>
          <w:i/>
          <w:iCs/>
          <w:sz w:val="24"/>
          <w:szCs w:val="24"/>
        </w:rPr>
        <w:t>Adoption of Innovative Supply Chain Practices in Hospitality</w:t>
      </w:r>
      <w:r>
        <w:rPr>
          <w:rFonts w:ascii="Times New Roman" w:hAnsi="Times New Roman" w:eastAsia="Times New Roman" w:cs="Times New Roman"/>
          <w:sz w:val="24"/>
          <w:szCs w:val="24"/>
        </w:rPr>
        <w:t>. Journal of Hospitality and Tourism Technology, 8(1), 46–61.</w:t>
      </w:r>
    </w:p>
    <w:p w14:paraId="793673AA">
      <w:pPr>
        <w:numPr>
          <w:ilvl w:val="0"/>
          <w:numId w:val="7"/>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Lichy, J., &amp; McLeay, F. (2020). </w:t>
      </w:r>
      <w:r>
        <w:rPr>
          <w:rFonts w:ascii="Times New Roman" w:hAnsi="Times New Roman" w:eastAsia="Times New Roman" w:cs="Times New Roman"/>
          <w:i/>
          <w:iCs/>
          <w:sz w:val="24"/>
          <w:szCs w:val="24"/>
        </w:rPr>
        <w:t>Wellness Tourism: Trust and Communication in Crisis</w:t>
      </w:r>
      <w:r>
        <w:rPr>
          <w:rFonts w:ascii="Times New Roman" w:hAnsi="Times New Roman" w:eastAsia="Times New Roman" w:cs="Times New Roman"/>
          <w:sz w:val="24"/>
          <w:szCs w:val="24"/>
        </w:rPr>
        <w:t>. Journal of Vacation Marketing, 26(3), 327–343.</w:t>
      </w:r>
    </w:p>
    <w:p w14:paraId="5BFF9714">
      <w:pPr>
        <w:numPr>
          <w:ilvl w:val="0"/>
          <w:numId w:val="7"/>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Wirtz, J., Zeithaml, V. A., &amp; Gistri, G. (2020). </w:t>
      </w:r>
      <w:r>
        <w:rPr>
          <w:rFonts w:ascii="Times New Roman" w:hAnsi="Times New Roman" w:eastAsia="Times New Roman" w:cs="Times New Roman"/>
          <w:i/>
          <w:iCs/>
          <w:sz w:val="24"/>
          <w:szCs w:val="24"/>
        </w:rPr>
        <w:t>Services Marketing: People, Technology, Strategy</w:t>
      </w:r>
      <w:r>
        <w:rPr>
          <w:rFonts w:ascii="Times New Roman" w:hAnsi="Times New Roman" w:eastAsia="Times New Roman" w:cs="Times New Roman"/>
          <w:sz w:val="24"/>
          <w:szCs w:val="24"/>
        </w:rPr>
        <w:t>. Pearson.</w:t>
      </w:r>
    </w:p>
    <w:p w14:paraId="7A5C01B6">
      <w:pPr>
        <w:numPr>
          <w:ilvl w:val="0"/>
          <w:numId w:val="7"/>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Thailand Ministry of Agriculture. (2025). </w:t>
      </w:r>
      <w:r>
        <w:rPr>
          <w:rFonts w:ascii="Times New Roman" w:hAnsi="Times New Roman" w:eastAsia="Times New Roman" w:cs="Times New Roman"/>
          <w:i/>
          <w:iCs/>
          <w:sz w:val="24"/>
          <w:szCs w:val="24"/>
        </w:rPr>
        <w:t>Impact of Seasonal Floods on Organic Exports</w:t>
      </w:r>
      <w:r>
        <w:rPr>
          <w:rFonts w:ascii="Times New Roman" w:hAnsi="Times New Roman" w:eastAsia="Times New Roman" w:cs="Times New Roman"/>
          <w:sz w:val="24"/>
          <w:szCs w:val="24"/>
        </w:rPr>
        <w:t>. Retrieved from https://www.moac.go.th</w:t>
      </w:r>
    </w:p>
    <w:p w14:paraId="58358768">
      <w:pPr>
        <w:numPr>
          <w:ilvl w:val="0"/>
          <w:numId w:val="7"/>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UNWTO. (2024). </w:t>
      </w:r>
      <w:r>
        <w:rPr>
          <w:rFonts w:ascii="Times New Roman" w:hAnsi="Times New Roman" w:eastAsia="Times New Roman" w:cs="Times New Roman"/>
          <w:i/>
          <w:iCs/>
          <w:sz w:val="24"/>
          <w:szCs w:val="24"/>
        </w:rPr>
        <w:t>Crisis Communication Guidelines for Sustainable Tourism</w:t>
      </w:r>
      <w:r>
        <w:rPr>
          <w:rFonts w:ascii="Times New Roman" w:hAnsi="Times New Roman" w:eastAsia="Times New Roman" w:cs="Times New Roman"/>
          <w:sz w:val="24"/>
          <w:szCs w:val="24"/>
        </w:rPr>
        <w:t xml:space="preserve">. </w:t>
      </w:r>
      <w:r>
        <w:fldChar w:fldCharType="begin"/>
      </w:r>
      <w:r>
        <w:instrText xml:space="preserve"> HYPERLINK "https://www.unwto.org" \t "_new" </w:instrText>
      </w:r>
      <w:r>
        <w:fldChar w:fldCharType="separate"/>
      </w:r>
      <w:r>
        <w:rPr>
          <w:rFonts w:ascii="Times New Roman" w:hAnsi="Times New Roman" w:eastAsia="Times New Roman" w:cs="Times New Roman"/>
          <w:color w:val="0000FF"/>
          <w:sz w:val="24"/>
          <w:szCs w:val="24"/>
          <w:u w:val="single"/>
        </w:rPr>
        <w:t>https://www.unwto.org</w:t>
      </w:r>
      <w:r>
        <w:rPr>
          <w:rFonts w:ascii="Times New Roman" w:hAnsi="Times New Roman" w:eastAsia="Times New Roman" w:cs="Times New Roman"/>
          <w:color w:val="0000FF"/>
          <w:sz w:val="24"/>
          <w:szCs w:val="24"/>
          <w:u w:val="single"/>
        </w:rPr>
        <w:fldChar w:fldCharType="end"/>
      </w:r>
    </w:p>
    <w:p w14:paraId="6F49C293">
      <w:pPr>
        <w:pStyle w:val="10"/>
        <w:numPr>
          <w:ilvl w:val="0"/>
          <w:numId w:val="7"/>
        </w:numPr>
      </w:pPr>
      <w:r>
        <w:t xml:space="preserve">Berezina, K., Bilgihan, A., Cobanoglu, C., &amp; Okumus, F. (2020). </w:t>
      </w:r>
      <w:r>
        <w:rPr>
          <w:rStyle w:val="8"/>
        </w:rPr>
        <w:t>International Journal of Hospitality Management, 89</w:t>
      </w:r>
      <w:r>
        <w:t>, 102513.</w:t>
      </w:r>
    </w:p>
    <w:p w14:paraId="20238F2D">
      <w:pPr>
        <w:pStyle w:val="10"/>
        <w:numPr>
          <w:ilvl w:val="0"/>
          <w:numId w:val="7"/>
        </w:numPr>
      </w:pPr>
      <w:r>
        <w:t xml:space="preserve">Choi, J., Park, H., &amp; Jung, S. (2021). </w:t>
      </w:r>
      <w:r>
        <w:rPr>
          <w:rStyle w:val="8"/>
        </w:rPr>
        <w:t>Tourism Management Perspectives, 38</w:t>
      </w:r>
      <w:r>
        <w:t>, 100823.</w:t>
      </w:r>
    </w:p>
    <w:p w14:paraId="67612F37">
      <w:pPr>
        <w:pStyle w:val="10"/>
        <w:numPr>
          <w:ilvl w:val="0"/>
          <w:numId w:val="7"/>
        </w:numPr>
      </w:pPr>
      <w:r>
        <w:t xml:space="preserve">Coombs, W. T. (2007). </w:t>
      </w:r>
      <w:r>
        <w:rPr>
          <w:rStyle w:val="8"/>
        </w:rPr>
        <w:t>Ongoing Crisis Communication</w:t>
      </w:r>
      <w:r>
        <w:t>. Sage Publications.</w:t>
      </w:r>
    </w:p>
    <w:p w14:paraId="0D805F7E">
      <w:pPr>
        <w:pStyle w:val="10"/>
        <w:numPr>
          <w:ilvl w:val="0"/>
          <w:numId w:val="7"/>
        </w:numPr>
      </w:pPr>
      <w:r>
        <w:t xml:space="preserve">Coombs, W. T., &amp; Holladay, S. J. (2010). </w:t>
      </w:r>
      <w:r>
        <w:rPr>
          <w:rStyle w:val="8"/>
        </w:rPr>
        <w:t>The Handbook of Crisis Communication</w:t>
      </w:r>
      <w:r>
        <w:t>. Wiley-Blackwell.</w:t>
      </w:r>
    </w:p>
    <w:p w14:paraId="6AECB7DF">
      <w:pPr>
        <w:pStyle w:val="10"/>
        <w:numPr>
          <w:ilvl w:val="0"/>
          <w:numId w:val="7"/>
        </w:numPr>
      </w:pPr>
      <w:r>
        <w:t xml:space="preserve">Deloitte. (2023). </w:t>
      </w:r>
      <w:r>
        <w:rPr>
          <w:rStyle w:val="8"/>
        </w:rPr>
        <w:t>Global Hospitality Risk Management Trends</w:t>
      </w:r>
      <w:r>
        <w:t>.</w:t>
      </w:r>
    </w:p>
    <w:p w14:paraId="578465D8">
      <w:pPr>
        <w:pStyle w:val="10"/>
        <w:numPr>
          <w:ilvl w:val="0"/>
          <w:numId w:val="7"/>
        </w:numPr>
      </w:pPr>
      <w:r>
        <w:t xml:space="preserve">Fearn-Banks, K. (2016). </w:t>
      </w:r>
      <w:r>
        <w:rPr>
          <w:rStyle w:val="8"/>
        </w:rPr>
        <w:t>Crisis Communications: A Casebook Approach</w:t>
      </w:r>
      <w:r>
        <w:t xml:space="preserve"> (5th ed.). Routledge.</w:t>
      </w:r>
    </w:p>
    <w:p w14:paraId="1E6F8555">
      <w:pPr>
        <w:pStyle w:val="10"/>
        <w:numPr>
          <w:ilvl w:val="0"/>
          <w:numId w:val="7"/>
        </w:numPr>
      </w:pPr>
      <w:r>
        <w:t xml:space="preserve">Henderson, J. C. (2007). Managing tourism crises. </w:t>
      </w:r>
      <w:r>
        <w:rPr>
          <w:rStyle w:val="8"/>
        </w:rPr>
        <w:t>Butterworth-Heinemann</w:t>
      </w:r>
      <w:r>
        <w:t>.</w:t>
      </w:r>
    </w:p>
    <w:p w14:paraId="5D3AD10C">
      <w:pPr>
        <w:pStyle w:val="10"/>
        <w:numPr>
          <w:ilvl w:val="0"/>
          <w:numId w:val="7"/>
        </w:numPr>
      </w:pPr>
      <w:r>
        <w:t xml:space="preserve">Hofstede, G. (2011). </w:t>
      </w:r>
      <w:r>
        <w:rPr>
          <w:rStyle w:val="8"/>
        </w:rPr>
        <w:t>Online Readings in Psychology and Culture, 2</w:t>
      </w:r>
      <w:r>
        <w:t>(1), 8.</w:t>
      </w:r>
    </w:p>
    <w:p w14:paraId="6250D3B0">
      <w:pPr>
        <w:pStyle w:val="10"/>
        <w:numPr>
          <w:ilvl w:val="0"/>
          <w:numId w:val="7"/>
        </w:numPr>
      </w:pPr>
      <w:r>
        <w:t xml:space="preserve">Ivanov, S., &amp; Webster, C. (2017). </w:t>
      </w:r>
      <w:r>
        <w:rPr>
          <w:rStyle w:val="8"/>
        </w:rPr>
        <w:t>Tourism Management, 60</w:t>
      </w:r>
      <w:r>
        <w:t>, 28–38.</w:t>
      </w:r>
    </w:p>
    <w:p w14:paraId="14021994">
      <w:pPr>
        <w:pStyle w:val="10"/>
        <w:numPr>
          <w:ilvl w:val="0"/>
          <w:numId w:val="7"/>
        </w:numPr>
      </w:pPr>
      <w:r>
        <w:t xml:space="preserve">Lee, S., &amp; Larsen, G. (2022). </w:t>
      </w:r>
      <w:r>
        <w:rPr>
          <w:rStyle w:val="8"/>
        </w:rPr>
        <w:t>Journal of Hospitality and Tourism Technology, 13</w:t>
      </w:r>
      <w:r>
        <w:t>(1), 48–65.</w:t>
      </w:r>
    </w:p>
    <w:p w14:paraId="1B753D4F">
      <w:pPr>
        <w:pStyle w:val="10"/>
        <w:numPr>
          <w:ilvl w:val="0"/>
          <w:numId w:val="7"/>
        </w:numPr>
      </w:pPr>
      <w:r>
        <w:t xml:space="preserve">Coombs, W. T. (2007). </w:t>
      </w:r>
      <w:r>
        <w:rPr>
          <w:rStyle w:val="8"/>
        </w:rPr>
        <w:t>Ongoing Crisis Communication: Planning, Managing, and Responding</w:t>
      </w:r>
      <w:r>
        <w:t xml:space="preserve"> (2nd ed.). Sage Publications.</w:t>
      </w:r>
    </w:p>
    <w:p w14:paraId="614F52F5">
      <w:pPr>
        <w:pStyle w:val="10"/>
        <w:numPr>
          <w:ilvl w:val="0"/>
          <w:numId w:val="7"/>
        </w:numPr>
      </w:pPr>
      <w:r>
        <w:t xml:space="preserve">Fearn-Banks, K. (2016). </w:t>
      </w:r>
      <w:r>
        <w:rPr>
          <w:rStyle w:val="8"/>
        </w:rPr>
        <w:t>Crisis Communications: A Casebook Approach</w:t>
      </w:r>
      <w:r>
        <w:t xml:space="preserve"> (5th ed.). Routledge.</w:t>
      </w:r>
    </w:p>
    <w:p w14:paraId="70B5A2D4">
      <w:pPr>
        <w:pStyle w:val="10"/>
        <w:numPr>
          <w:ilvl w:val="0"/>
          <w:numId w:val="7"/>
        </w:numPr>
      </w:pPr>
      <w:r>
        <w:t xml:space="preserve">Han, H. (2021). How customer satisfaction, service quality, and emotional attachment affect brand loyalty in wellness tourism. </w:t>
      </w:r>
      <w:r>
        <w:rPr>
          <w:rStyle w:val="8"/>
        </w:rPr>
        <w:t>Journal of Travel &amp; Tourism Marketing</w:t>
      </w:r>
      <w:r>
        <w:t>, 38(4), 356–374.</w:t>
      </w:r>
    </w:p>
    <w:p w14:paraId="479FBECB">
      <w:pPr>
        <w:pStyle w:val="10"/>
        <w:numPr>
          <w:ilvl w:val="0"/>
          <w:numId w:val="7"/>
        </w:numPr>
      </w:pPr>
      <w:r>
        <w:t xml:space="preserve">Henderson, J. C. (2007). Managing tourism crises: Causes, consequences and management responses. </w:t>
      </w:r>
      <w:r>
        <w:rPr>
          <w:rStyle w:val="8"/>
        </w:rPr>
        <w:t>Butterworth-Heinemann</w:t>
      </w:r>
      <w:r>
        <w:t>.</w:t>
      </w:r>
    </w:p>
    <w:p w14:paraId="2F8B7430">
      <w:pPr>
        <w:pStyle w:val="10"/>
        <w:numPr>
          <w:ilvl w:val="0"/>
          <w:numId w:val="7"/>
        </w:numPr>
      </w:pPr>
      <w:r>
        <w:t xml:space="preserve">Hofstede, G. (2011). </w:t>
      </w:r>
      <w:r>
        <w:rPr>
          <w:rStyle w:val="8"/>
        </w:rPr>
        <w:t>Dimensionalizing Cultures: The Hofstede Model in Context</w:t>
      </w:r>
      <w:r>
        <w:t xml:space="preserve">. </w:t>
      </w:r>
      <w:r>
        <w:rPr>
          <w:rStyle w:val="8"/>
        </w:rPr>
        <w:t>Online Readings in Psychology and Culture</w:t>
      </w:r>
      <w:r>
        <w:t>, 2(1), 1–26.</w:t>
      </w:r>
    </w:p>
    <w:p w14:paraId="54653FC3">
      <w:pPr>
        <w:pStyle w:val="10"/>
        <w:numPr>
          <w:ilvl w:val="0"/>
          <w:numId w:val="7"/>
        </w:numPr>
      </w:pPr>
      <w:r>
        <w:t xml:space="preserve">Hystad, P. W., &amp; Keller, P. C. (2008). Towards a destination tourism disaster management framework: Long-term lessons from a forest fire disaster. </w:t>
      </w:r>
      <w:r>
        <w:rPr>
          <w:rStyle w:val="8"/>
        </w:rPr>
        <w:t>Tourism Management</w:t>
      </w:r>
      <w:r>
        <w:t>, 29(1), 151–162.</w:t>
      </w:r>
    </w:p>
    <w:p w14:paraId="5830F18B">
      <w:pPr>
        <w:pStyle w:val="10"/>
        <w:numPr>
          <w:ilvl w:val="0"/>
          <w:numId w:val="7"/>
        </w:numPr>
      </w:pPr>
      <w:r>
        <w:t xml:space="preserve">Ivanov, S., &amp; Webster, C. (2017). Adoption of robots and service automation by tourism and hospitality companies. </w:t>
      </w:r>
      <w:r>
        <w:rPr>
          <w:rStyle w:val="8"/>
        </w:rPr>
        <w:t>Revista Turismo &amp; Desenvolvimento</w:t>
      </w:r>
      <w:r>
        <w:t>, 27/28, 1501–1517.</w:t>
      </w:r>
    </w:p>
    <w:p w14:paraId="29078EFD">
      <w:pPr>
        <w:pStyle w:val="10"/>
        <w:numPr>
          <w:ilvl w:val="0"/>
          <w:numId w:val="7"/>
        </w:numPr>
      </w:pPr>
      <w:r>
        <w:t xml:space="preserve">Lichy, J., &amp; McLeay, F. (2020). Wellness tourism: Ethical concerns and consumer perspectives. </w:t>
      </w:r>
      <w:r>
        <w:rPr>
          <w:rStyle w:val="8"/>
        </w:rPr>
        <w:t>Tourism Recreation Research</w:t>
      </w:r>
      <w:r>
        <w:t>, 45(2), 151–163.</w:t>
      </w:r>
    </w:p>
    <w:p w14:paraId="41F53851">
      <w:pPr>
        <w:pStyle w:val="10"/>
        <w:numPr>
          <w:ilvl w:val="0"/>
          <w:numId w:val="7"/>
        </w:numPr>
      </w:pPr>
      <w:r>
        <w:t xml:space="preserve">Wirtz, J., Zeithaml, V. A., &amp; Gistri, G. (2020). Technology-mediated service encounters in wellness tourism: Mitigating service failures through empathetic recovery. </w:t>
      </w:r>
      <w:r>
        <w:rPr>
          <w:rStyle w:val="8"/>
        </w:rPr>
        <w:t>Journal of Services Marketing</w:t>
      </w:r>
      <w:r>
        <w:t>, 34(5), 673–686.</w:t>
      </w:r>
    </w:p>
    <w:p w14:paraId="53A30F0D">
      <w:pPr>
        <w:pStyle w:val="10"/>
        <w:numPr>
          <w:ilvl w:val="0"/>
          <w:numId w:val="7"/>
        </w:numPr>
      </w:pPr>
      <w:r>
        <w:t xml:space="preserve">Lichy, M., &amp; McLeay, F. (2020). </w:t>
      </w:r>
      <w:r>
        <w:rPr>
          <w:rStyle w:val="8"/>
        </w:rPr>
        <w:t>Journal of Wellness Studies, 4</w:t>
      </w:r>
      <w:r>
        <w:t>(2), 13–29.</w:t>
      </w:r>
    </w:p>
    <w:p w14:paraId="3BB8BB9D">
      <w:pPr>
        <w:pStyle w:val="10"/>
        <w:numPr>
          <w:ilvl w:val="0"/>
          <w:numId w:val="7"/>
        </w:numPr>
      </w:pPr>
      <w:r>
        <w:t xml:space="preserve">Lovelock, C., &amp; Wirtz, J. (2020). </w:t>
      </w:r>
      <w:r>
        <w:rPr>
          <w:rStyle w:val="8"/>
        </w:rPr>
        <w:t>Services Marketing</w:t>
      </w:r>
      <w:r>
        <w:t xml:space="preserve"> (8th ed.). Pearson.</w:t>
      </w:r>
    </w:p>
    <w:p w14:paraId="7B92213A">
      <w:pPr>
        <w:pStyle w:val="10"/>
        <w:numPr>
          <w:ilvl w:val="0"/>
          <w:numId w:val="7"/>
        </w:numPr>
      </w:pPr>
      <w:r>
        <w:t xml:space="preserve">PwC. (2022). </w:t>
      </w:r>
      <w:r>
        <w:rPr>
          <w:rStyle w:val="8"/>
        </w:rPr>
        <w:t>Digital Trust Insights Report</w:t>
      </w:r>
      <w:r>
        <w:t>.</w:t>
      </w:r>
    </w:p>
    <w:p w14:paraId="1BC81641">
      <w:pPr>
        <w:pStyle w:val="10"/>
        <w:numPr>
          <w:ilvl w:val="0"/>
          <w:numId w:val="7"/>
        </w:numPr>
      </w:pPr>
      <w:r>
        <w:t xml:space="preserve">Voigt, P., &amp; Von dem Bussche, A. (2017). </w:t>
      </w:r>
      <w:r>
        <w:rPr>
          <w:rStyle w:val="8"/>
        </w:rPr>
        <w:t>The EU GDPR: A Practical Guide</w:t>
      </w:r>
      <w:r>
        <w:t>. Springer.</w:t>
      </w:r>
    </w:p>
    <w:p w14:paraId="1132D218">
      <w:pPr>
        <w:pStyle w:val="10"/>
        <w:numPr>
          <w:ilvl w:val="0"/>
          <w:numId w:val="7"/>
        </w:numPr>
      </w:pPr>
      <w:r>
        <w:t xml:space="preserve">Wirtz, J., et al. (2020). </w:t>
      </w:r>
      <w:r>
        <w:rPr>
          <w:rStyle w:val="8"/>
        </w:rPr>
        <w:t>Journal of Service Marketing, 34</w:t>
      </w:r>
      <w:r>
        <w:t>(6), 763–775.</w:t>
      </w:r>
    </w:p>
    <w:p w14:paraId="0E0B4950">
      <w:pPr>
        <w:spacing w:before="100" w:beforeAutospacing="1" w:after="100" w:afterAutospacing="1" w:line="240" w:lineRule="auto"/>
        <w:outlineLvl w:val="1"/>
        <w:rPr>
          <w:rFonts w:ascii="Times New Roman" w:hAnsi="Times New Roman" w:eastAsia="Times New Roman" w:cs="Times New Roman"/>
          <w:sz w:val="24"/>
          <w:szCs w:val="24"/>
        </w:rPr>
      </w:pPr>
    </w:p>
    <w:p w14:paraId="608E7113">
      <w:pPr>
        <w:spacing w:before="100" w:beforeAutospacing="1" w:after="100" w:afterAutospacing="1" w:line="240" w:lineRule="auto"/>
        <w:outlineLvl w:val="1"/>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10. APPENDICES</w:t>
      </w:r>
    </w:p>
    <w:p w14:paraId="4E3F40C2">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Appendix A – Guest Communication Toolkit</w:t>
      </w:r>
    </w:p>
    <w:tbl>
      <w:tblPr>
        <w:tblStyle w:val="6"/>
        <w:tblW w:w="0" w:type="auto"/>
        <w:tblCellSpacing w:w="15" w:type="dxa"/>
        <w:tblInd w:w="0" w:type="dxa"/>
        <w:tblLayout w:type="autofit"/>
        <w:tblCellMar>
          <w:top w:w="15" w:type="dxa"/>
          <w:left w:w="15" w:type="dxa"/>
          <w:bottom w:w="15" w:type="dxa"/>
          <w:right w:w="15" w:type="dxa"/>
        </w:tblCellMar>
      </w:tblPr>
      <w:tblGrid>
        <w:gridCol w:w="6804"/>
        <w:gridCol w:w="2646"/>
      </w:tblGrid>
      <w:tr w14:paraId="675A6A73">
        <w:tblPrEx>
          <w:tblCellMar>
            <w:top w:w="15" w:type="dxa"/>
            <w:left w:w="15" w:type="dxa"/>
            <w:bottom w:w="15" w:type="dxa"/>
            <w:right w:w="15" w:type="dxa"/>
          </w:tblCellMar>
        </w:tblPrEx>
        <w:trPr>
          <w:tblHeader/>
          <w:tblCellSpacing w:w="15" w:type="dxa"/>
        </w:trPr>
        <w:tc>
          <w:tcPr>
            <w:tcW w:w="0" w:type="auto"/>
            <w:vAlign w:val="center"/>
          </w:tcPr>
          <w:p w14:paraId="4EC21DA5">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Phrase</w:t>
            </w:r>
          </w:p>
        </w:tc>
        <w:tc>
          <w:tcPr>
            <w:tcW w:w="0" w:type="auto"/>
            <w:vAlign w:val="center"/>
          </w:tcPr>
          <w:p w14:paraId="6A9966E9">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Usage</w:t>
            </w:r>
          </w:p>
        </w:tc>
      </w:tr>
      <w:tr w14:paraId="451B3CC9">
        <w:tblPrEx>
          <w:tblCellMar>
            <w:top w:w="15" w:type="dxa"/>
            <w:left w:w="15" w:type="dxa"/>
            <w:bottom w:w="15" w:type="dxa"/>
            <w:right w:w="15" w:type="dxa"/>
          </w:tblCellMar>
        </w:tblPrEx>
        <w:trPr>
          <w:tblCellSpacing w:w="15" w:type="dxa"/>
        </w:trPr>
        <w:tc>
          <w:tcPr>
            <w:tcW w:w="0" w:type="auto"/>
            <w:vAlign w:val="center"/>
          </w:tcPr>
          <w:p w14:paraId="0D72FBCD">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 deeply regret this change and appreciate your understanding.”</w:t>
            </w:r>
          </w:p>
        </w:tc>
        <w:tc>
          <w:tcPr>
            <w:tcW w:w="0" w:type="auto"/>
            <w:vAlign w:val="center"/>
          </w:tcPr>
          <w:p w14:paraId="6A3EC3A6">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Apology cards, social media</w:t>
            </w:r>
          </w:p>
        </w:tc>
      </w:tr>
      <w:tr w14:paraId="6035980C">
        <w:tblPrEx>
          <w:tblCellMar>
            <w:top w:w="15" w:type="dxa"/>
            <w:left w:w="15" w:type="dxa"/>
            <w:bottom w:w="15" w:type="dxa"/>
            <w:right w:w="15" w:type="dxa"/>
          </w:tblCellMar>
        </w:tblPrEx>
        <w:trPr>
          <w:tblCellSpacing w:w="15" w:type="dxa"/>
        </w:trPr>
        <w:tc>
          <w:tcPr>
            <w:tcW w:w="0" w:type="auto"/>
            <w:vAlign w:val="center"/>
          </w:tcPr>
          <w:p w14:paraId="032377B2">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“We’re using the freshest local alternatives to protect your health journey.”</w:t>
            </w:r>
          </w:p>
        </w:tc>
        <w:tc>
          <w:tcPr>
            <w:tcW w:w="0" w:type="auto"/>
            <w:vAlign w:val="center"/>
          </w:tcPr>
          <w:p w14:paraId="186B55F6">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Printed dining menus</w:t>
            </w:r>
          </w:p>
        </w:tc>
      </w:tr>
      <w:tr w14:paraId="27E9A355">
        <w:tblPrEx>
          <w:tblCellMar>
            <w:top w:w="15" w:type="dxa"/>
            <w:left w:w="15" w:type="dxa"/>
            <w:bottom w:w="15" w:type="dxa"/>
            <w:right w:w="15" w:type="dxa"/>
          </w:tblCellMar>
        </w:tblPrEx>
        <w:trPr>
          <w:tblCellSpacing w:w="15" w:type="dxa"/>
        </w:trPr>
        <w:tc>
          <w:tcPr>
            <w:tcW w:w="0" w:type="auto"/>
            <w:vAlign w:val="center"/>
          </w:tcPr>
          <w:p w14:paraId="78FC1BDE">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“Please enjoy a complimentary spa session as part of our thank-you.”</w:t>
            </w:r>
          </w:p>
        </w:tc>
        <w:tc>
          <w:tcPr>
            <w:tcW w:w="0" w:type="auto"/>
            <w:vAlign w:val="center"/>
          </w:tcPr>
          <w:p w14:paraId="6039B7DD">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Service recovery initiative</w:t>
            </w:r>
          </w:p>
        </w:tc>
      </w:tr>
    </w:tbl>
    <w:p w14:paraId="14ED8BBC">
      <w:pPr>
        <w:spacing w:after="0" w:line="240" w:lineRule="auto"/>
        <w:rPr>
          <w:rFonts w:ascii="Times New Roman" w:hAnsi="Times New Roman" w:eastAsia="Times New Roman" w:cs="Times New Roman"/>
          <w:sz w:val="24"/>
          <w:szCs w:val="24"/>
        </w:rPr>
      </w:pPr>
    </w:p>
    <w:p w14:paraId="774ED02B"/>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550BC1"/>
    <w:multiLevelType w:val="multilevel"/>
    <w:tmpl w:val="0A550BC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DE06BC8"/>
    <w:multiLevelType w:val="multilevel"/>
    <w:tmpl w:val="0DE06BC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E707E8B"/>
    <w:multiLevelType w:val="multilevel"/>
    <w:tmpl w:val="0E707E8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A5F28E1"/>
    <w:multiLevelType w:val="multilevel"/>
    <w:tmpl w:val="5A5F28E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CCD7033"/>
    <w:multiLevelType w:val="multilevel"/>
    <w:tmpl w:val="5CCD703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5F6F0198"/>
    <w:multiLevelType w:val="multilevel"/>
    <w:tmpl w:val="5F6F019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760C6F19"/>
    <w:multiLevelType w:val="multilevel"/>
    <w:tmpl w:val="760C6F1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3"/>
  </w:num>
  <w:num w:numId="2">
    <w:abstractNumId w:val="2"/>
  </w:num>
  <w:num w:numId="3">
    <w:abstractNumId w:val="5"/>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21F"/>
    <w:rsid w:val="0016595D"/>
    <w:rsid w:val="001F564B"/>
    <w:rsid w:val="003F2015"/>
    <w:rsid w:val="00432F0F"/>
    <w:rsid w:val="00672EA7"/>
    <w:rsid w:val="00767226"/>
    <w:rsid w:val="007778A8"/>
    <w:rsid w:val="00820493"/>
    <w:rsid w:val="0086794F"/>
    <w:rsid w:val="009D421F"/>
    <w:rsid w:val="00AC5B3C"/>
    <w:rsid w:val="00B509EE"/>
    <w:rsid w:val="00D26592"/>
    <w:rsid w:val="00D915F8"/>
    <w:rsid w:val="00EC0A41"/>
    <w:rsid w:val="00F74C0A"/>
    <w:rsid w:val="00F91DFB"/>
    <w:rsid w:val="07983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2"/>
    <w:basedOn w:val="1"/>
    <w:link w:val="14"/>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3">
    <w:name w:val="heading 3"/>
    <w:basedOn w:val="1"/>
    <w:link w:val="15"/>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rPr>
  </w:style>
  <w:style w:type="paragraph" w:styleId="4">
    <w:name w:val="heading 4"/>
    <w:basedOn w:val="1"/>
    <w:next w:val="1"/>
    <w:link w:val="16"/>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3"/>
    <w:semiHidden/>
    <w:unhideWhenUsed/>
    <w:qFormat/>
    <w:uiPriority w:val="99"/>
    <w:pPr>
      <w:spacing w:after="0" w:line="240" w:lineRule="auto"/>
    </w:pPr>
    <w:rPr>
      <w:rFonts w:ascii="Tahoma" w:hAnsi="Tahoma" w:cs="Tahoma"/>
      <w:sz w:val="16"/>
      <w:szCs w:val="16"/>
    </w:rPr>
  </w:style>
  <w:style w:type="character" w:styleId="8">
    <w:name w:val="Emphasis"/>
    <w:basedOn w:val="5"/>
    <w:qFormat/>
    <w:uiPriority w:val="20"/>
    <w:rPr>
      <w:i/>
      <w:iCs/>
    </w:rPr>
  </w:style>
  <w:style w:type="character" w:styleId="9">
    <w:name w:val="Hyperlink"/>
    <w:basedOn w:val="5"/>
    <w:semiHidden/>
    <w:unhideWhenUsed/>
    <w:qFormat/>
    <w:uiPriority w:val="99"/>
    <w:rPr>
      <w:color w:val="0000FF"/>
      <w:u w:val="single"/>
    </w:r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1">
    <w:name w:val="Strong"/>
    <w:basedOn w:val="5"/>
    <w:qFormat/>
    <w:uiPriority w:val="22"/>
    <w:rPr>
      <w:b/>
      <w:bCs/>
    </w:rPr>
  </w:style>
  <w:style w:type="paragraph" w:styleId="12">
    <w:name w:val="List Paragraph"/>
    <w:basedOn w:val="1"/>
    <w:qFormat/>
    <w:uiPriority w:val="34"/>
    <w:pPr>
      <w:ind w:left="720"/>
      <w:contextualSpacing/>
    </w:pPr>
  </w:style>
  <w:style w:type="character" w:customStyle="1" w:styleId="13">
    <w:name w:val="Balloon Text Char"/>
    <w:basedOn w:val="5"/>
    <w:link w:val="7"/>
    <w:semiHidden/>
    <w:qFormat/>
    <w:uiPriority w:val="99"/>
    <w:rPr>
      <w:rFonts w:ascii="Tahoma" w:hAnsi="Tahoma" w:cs="Tahoma"/>
      <w:sz w:val="16"/>
      <w:szCs w:val="16"/>
    </w:rPr>
  </w:style>
  <w:style w:type="character" w:customStyle="1" w:styleId="14">
    <w:name w:val="Heading 2 Char"/>
    <w:basedOn w:val="5"/>
    <w:link w:val="2"/>
    <w:qFormat/>
    <w:uiPriority w:val="9"/>
    <w:rPr>
      <w:rFonts w:ascii="Times New Roman" w:hAnsi="Times New Roman" w:eastAsia="Times New Roman" w:cs="Times New Roman"/>
      <w:b/>
      <w:bCs/>
      <w:sz w:val="36"/>
      <w:szCs w:val="36"/>
    </w:rPr>
  </w:style>
  <w:style w:type="character" w:customStyle="1" w:styleId="15">
    <w:name w:val="Heading 3 Char"/>
    <w:basedOn w:val="5"/>
    <w:link w:val="3"/>
    <w:qFormat/>
    <w:uiPriority w:val="9"/>
    <w:rPr>
      <w:rFonts w:ascii="Times New Roman" w:hAnsi="Times New Roman" w:eastAsia="Times New Roman" w:cs="Times New Roman"/>
      <w:b/>
      <w:bCs/>
      <w:sz w:val="27"/>
      <w:szCs w:val="27"/>
    </w:rPr>
  </w:style>
  <w:style w:type="character" w:customStyle="1" w:styleId="16">
    <w:name w:val="Heading 4 Char"/>
    <w:basedOn w:val="5"/>
    <w:link w:val="4"/>
    <w:semiHidden/>
    <w:qFormat/>
    <w:uiPriority w:val="9"/>
    <w:rPr>
      <w:rFonts w:asciiTheme="majorHAnsi" w:hAnsiTheme="majorHAnsi" w:eastAsiaTheme="majorEastAsia" w:cstheme="majorBidi"/>
      <w:b/>
      <w:bCs/>
      <w:i/>
      <w:iCs/>
      <w:color w:val="4F81BD" w:themeColor="accent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4478</Words>
  <Characters>25526</Characters>
  <Lines>212</Lines>
  <Paragraphs>59</Paragraphs>
  <TotalTime>1815</TotalTime>
  <ScaleCrop>false</ScaleCrop>
  <LinksUpToDate>false</LinksUpToDate>
  <CharactersWithSpaces>29945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2025-06-15T05:53:00Z</dcterms:created>
  <dc:creator>ANCHALIKA</dc:creator>
  <cp:lastModifiedBy>Dell</cp:lastModifiedBy>
  <dcterms:modified xsi:type="dcterms:W3CDTF">2025-06-23T10:48:22Z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B47B2EFF88CF484BBBC047B67943C8F7_13</vt:lpwstr>
  </property>
</Properties>
</file>