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3204C" w14:textId="77777777" w:rsidR="0019504D" w:rsidRPr="0062027B" w:rsidRDefault="0019504D" w:rsidP="00454AA4">
      <w:pPr>
        <w:spacing w:line="480" w:lineRule="auto"/>
        <w:rPr>
          <w:rFonts w:asciiTheme="majorBidi" w:hAnsiTheme="majorBidi" w:cstheme="majorBidi"/>
          <w:lang w:val="en-US"/>
        </w:rPr>
      </w:pPr>
      <w:r w:rsidRPr="0062027B">
        <w:rPr>
          <w:rFonts w:asciiTheme="majorBidi" w:hAnsiTheme="majorBidi" w:cstheme="majorBidi"/>
          <w:noProof/>
          <w:lang w:val="en-US"/>
        </w:rPr>
        <w:drawing>
          <wp:anchor distT="0" distB="0" distL="114300" distR="114300" simplePos="0" relativeHeight="251658240" behindDoc="1" locked="0" layoutInCell="1" allowOverlap="1" wp14:anchorId="56DB6B28" wp14:editId="3AAACDD9">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91AC9AB" w14:textId="77777777" w:rsidR="00661030" w:rsidRPr="0062027B" w:rsidRDefault="00C21EBA" w:rsidP="00454AA4">
      <w:pPr>
        <w:spacing w:line="480" w:lineRule="auto"/>
        <w:rPr>
          <w:rFonts w:asciiTheme="majorBidi" w:hAnsiTheme="majorBidi" w:cstheme="majorBidi"/>
          <w:lang w:val="en-US"/>
        </w:rPr>
      </w:pPr>
      <w:r w:rsidRPr="0062027B">
        <w:rPr>
          <w:rFonts w:asciiTheme="majorBidi" w:hAnsiTheme="majorBidi" w:cstheme="majorBidi"/>
          <w:lang w:val="en-US"/>
        </w:rPr>
        <w:t>Planning</w:t>
      </w:r>
      <w:r w:rsidR="00661030" w:rsidRPr="0062027B">
        <w:rPr>
          <w:rFonts w:asciiTheme="majorBidi" w:hAnsiTheme="majorBidi" w:cstheme="majorBidi"/>
          <w:lang w:val="en-US"/>
        </w:rPr>
        <w:t xml:space="preserve"> and </w:t>
      </w:r>
      <w:r w:rsidRPr="0062027B">
        <w:rPr>
          <w:rFonts w:asciiTheme="majorBidi" w:hAnsiTheme="majorBidi" w:cstheme="majorBidi"/>
          <w:lang w:val="en-US"/>
        </w:rPr>
        <w:t>Management</w:t>
      </w:r>
      <w:r w:rsidR="00661030" w:rsidRPr="0062027B">
        <w:rPr>
          <w:rFonts w:asciiTheme="majorBidi" w:hAnsiTheme="majorBidi" w:cstheme="majorBidi"/>
          <w:lang w:val="en-US"/>
        </w:rPr>
        <w:t xml:space="preserve"> </w:t>
      </w:r>
      <w:r w:rsidRPr="0062027B">
        <w:rPr>
          <w:rFonts w:asciiTheme="majorBidi" w:hAnsiTheme="majorBidi" w:cstheme="majorBidi"/>
          <w:lang w:val="en-US"/>
        </w:rPr>
        <w:t xml:space="preserve">of Sustainable </w:t>
      </w:r>
      <w:r w:rsidR="00661030" w:rsidRPr="0062027B">
        <w:rPr>
          <w:rFonts w:asciiTheme="majorBidi" w:hAnsiTheme="majorBidi" w:cstheme="majorBidi"/>
          <w:lang w:val="en-US"/>
        </w:rPr>
        <w:t>Tourism</w:t>
      </w:r>
      <w:r w:rsidRPr="0062027B">
        <w:rPr>
          <w:rFonts w:asciiTheme="majorBidi" w:hAnsiTheme="majorBidi" w:cstheme="majorBidi"/>
          <w:lang w:val="en-US"/>
        </w:rPr>
        <w:t xml:space="preserve"> Spaces</w:t>
      </w:r>
    </w:p>
    <w:p w14:paraId="43B78418" w14:textId="77777777" w:rsidR="0019504D" w:rsidRPr="0062027B" w:rsidRDefault="0019504D" w:rsidP="00454AA4">
      <w:pPr>
        <w:spacing w:line="480" w:lineRule="auto"/>
        <w:rPr>
          <w:rFonts w:asciiTheme="majorBidi" w:hAnsiTheme="majorBidi" w:cstheme="majorBidi"/>
          <w:lang w:val="en-US"/>
        </w:rPr>
      </w:pPr>
      <w:r w:rsidRPr="0062027B">
        <w:rPr>
          <w:rFonts w:asciiTheme="majorBidi" w:hAnsiTheme="majorBidi" w:cstheme="majorBidi"/>
          <w:lang w:val="en-US"/>
        </w:rPr>
        <w:t xml:space="preserve">Assignment </w:t>
      </w:r>
      <w:r w:rsidR="00237278" w:rsidRPr="0062027B">
        <w:rPr>
          <w:rFonts w:asciiTheme="majorBidi" w:hAnsiTheme="majorBidi" w:cstheme="majorBidi"/>
          <w:lang w:val="en-US"/>
        </w:rPr>
        <w:t>9</w:t>
      </w:r>
    </w:p>
    <w:p w14:paraId="72535C24" w14:textId="77777777" w:rsidR="00637F36" w:rsidRPr="0062027B" w:rsidRDefault="009673A4" w:rsidP="00454AA4">
      <w:pPr>
        <w:spacing w:line="480" w:lineRule="auto"/>
        <w:rPr>
          <w:rFonts w:asciiTheme="majorBidi" w:hAnsiTheme="majorBidi" w:cstheme="majorBidi"/>
          <w:lang w:val="en-US"/>
        </w:rPr>
      </w:pPr>
      <w:r w:rsidRPr="0062027B">
        <w:rPr>
          <w:rFonts w:asciiTheme="majorBidi" w:hAnsiTheme="majorBidi" w:cstheme="majorBidi"/>
          <w:lang w:val="en-US"/>
        </w:rPr>
        <w:t>03</w:t>
      </w:r>
      <w:r w:rsidR="0019504D" w:rsidRPr="0062027B">
        <w:rPr>
          <w:rFonts w:asciiTheme="majorBidi" w:hAnsiTheme="majorBidi" w:cstheme="majorBidi"/>
          <w:lang w:val="en-US"/>
        </w:rPr>
        <w:t>.</w:t>
      </w:r>
      <w:r w:rsidR="006F6FA4" w:rsidRPr="0062027B">
        <w:rPr>
          <w:rFonts w:asciiTheme="majorBidi" w:hAnsiTheme="majorBidi" w:cstheme="majorBidi"/>
          <w:lang w:val="en-US"/>
        </w:rPr>
        <w:t>1</w:t>
      </w:r>
      <w:r w:rsidR="0019504D" w:rsidRPr="0062027B">
        <w:rPr>
          <w:rFonts w:asciiTheme="majorBidi" w:hAnsiTheme="majorBidi" w:cstheme="majorBidi"/>
          <w:lang w:val="en-US"/>
        </w:rPr>
        <w:t>.2025</w:t>
      </w:r>
    </w:p>
    <w:p w14:paraId="0302BF9A" w14:textId="48AC9063" w:rsidR="0019504D" w:rsidRPr="0062027B" w:rsidRDefault="00637F36" w:rsidP="00454AA4">
      <w:pPr>
        <w:spacing w:line="480" w:lineRule="auto"/>
        <w:rPr>
          <w:rFonts w:asciiTheme="majorBidi" w:hAnsiTheme="majorBidi" w:cstheme="majorBidi"/>
          <w:lang w:val="en-US"/>
        </w:rPr>
      </w:pPr>
      <w:r w:rsidRPr="0062027B">
        <w:rPr>
          <w:rFonts w:asciiTheme="majorBidi" w:hAnsiTheme="majorBidi" w:cstheme="majorBidi"/>
          <w:lang w:val="en-US"/>
        </w:rPr>
        <w:br/>
        <w:t xml:space="preserve">Student </w:t>
      </w:r>
      <w:proofErr w:type="gramStart"/>
      <w:r w:rsidRPr="0062027B">
        <w:rPr>
          <w:rFonts w:asciiTheme="majorBidi" w:hAnsiTheme="majorBidi" w:cstheme="majorBidi"/>
          <w:lang w:val="en-US"/>
        </w:rPr>
        <w:t>Name</w:t>
      </w:r>
      <w:r w:rsidR="0050100F" w:rsidRPr="0062027B">
        <w:rPr>
          <w:rFonts w:asciiTheme="majorBidi" w:hAnsiTheme="majorBidi" w:cstheme="majorBidi"/>
          <w:lang w:val="en-US"/>
        </w:rPr>
        <w:t xml:space="preserve"> :</w:t>
      </w:r>
      <w:proofErr w:type="gramEnd"/>
      <w:r w:rsidR="0050100F" w:rsidRPr="0062027B">
        <w:rPr>
          <w:rFonts w:asciiTheme="majorBidi" w:hAnsiTheme="majorBidi" w:cstheme="majorBidi"/>
          <w:lang w:val="en-US"/>
        </w:rPr>
        <w:t xml:space="preserve"> </w:t>
      </w:r>
      <w:r w:rsidR="0062027B" w:rsidRPr="0062027B">
        <w:rPr>
          <w:rFonts w:asciiTheme="majorBidi" w:hAnsiTheme="majorBidi" w:cstheme="majorBidi"/>
          <w:lang w:val="en-US"/>
        </w:rPr>
        <w:t xml:space="preserve">Harpreet </w:t>
      </w:r>
      <w:r w:rsidRPr="0062027B">
        <w:rPr>
          <w:rFonts w:asciiTheme="majorBidi" w:hAnsiTheme="majorBidi" w:cstheme="majorBidi"/>
          <w:lang w:val="en-US"/>
        </w:rPr>
        <w:br/>
      </w:r>
    </w:p>
    <w:p w14:paraId="1B7D276D" w14:textId="77777777" w:rsidR="0019504D" w:rsidRPr="0062027B" w:rsidRDefault="0019504D" w:rsidP="00454AA4">
      <w:pPr>
        <w:spacing w:line="480" w:lineRule="auto"/>
        <w:rPr>
          <w:rFonts w:asciiTheme="majorBidi" w:hAnsiTheme="majorBidi" w:cstheme="majorBidi"/>
        </w:rPr>
      </w:pPr>
    </w:p>
    <w:p w14:paraId="2B5E4815" w14:textId="77777777" w:rsidR="0019504D" w:rsidRPr="0062027B" w:rsidRDefault="0019504D" w:rsidP="00454AA4">
      <w:pPr>
        <w:spacing w:line="480" w:lineRule="auto"/>
        <w:rPr>
          <w:rFonts w:asciiTheme="majorBidi" w:hAnsiTheme="majorBidi" w:cstheme="majorBidi"/>
        </w:rPr>
      </w:pPr>
    </w:p>
    <w:p w14:paraId="5B00230C" w14:textId="77777777" w:rsidR="0019504D" w:rsidRPr="0062027B" w:rsidRDefault="0019504D" w:rsidP="00454AA4">
      <w:pPr>
        <w:spacing w:line="480" w:lineRule="auto"/>
        <w:rPr>
          <w:rFonts w:asciiTheme="majorBidi" w:hAnsiTheme="majorBidi" w:cstheme="majorBidi"/>
        </w:rPr>
      </w:pPr>
    </w:p>
    <w:p w14:paraId="2F4D5FE6" w14:textId="77777777" w:rsidR="00CD620A" w:rsidRPr="0062027B" w:rsidRDefault="00CD620A" w:rsidP="00454AA4">
      <w:pPr>
        <w:spacing w:line="480" w:lineRule="auto"/>
        <w:rPr>
          <w:rFonts w:asciiTheme="majorBidi" w:hAnsiTheme="majorBidi" w:cstheme="majorBidi"/>
        </w:rPr>
      </w:pPr>
    </w:p>
    <w:p w14:paraId="4664BA8B" w14:textId="77777777" w:rsidR="009673A4" w:rsidRPr="0062027B" w:rsidRDefault="009673A4" w:rsidP="00454AA4">
      <w:pPr>
        <w:spacing w:line="480" w:lineRule="auto"/>
        <w:rPr>
          <w:rFonts w:asciiTheme="majorBidi" w:hAnsiTheme="majorBidi" w:cstheme="majorBidi"/>
        </w:rPr>
      </w:pPr>
    </w:p>
    <w:p w14:paraId="215544FC" w14:textId="77777777" w:rsidR="009673A4" w:rsidRPr="0062027B" w:rsidRDefault="009673A4" w:rsidP="00454AA4">
      <w:pPr>
        <w:spacing w:line="480" w:lineRule="auto"/>
        <w:rPr>
          <w:rFonts w:asciiTheme="majorBidi" w:hAnsiTheme="majorBidi" w:cstheme="majorBidi"/>
        </w:rPr>
      </w:pPr>
    </w:p>
    <w:p w14:paraId="5F442CE5" w14:textId="77777777" w:rsidR="009673A4" w:rsidRPr="0062027B" w:rsidRDefault="009673A4" w:rsidP="00454AA4">
      <w:pPr>
        <w:spacing w:line="480" w:lineRule="auto"/>
        <w:rPr>
          <w:rFonts w:asciiTheme="majorBidi" w:hAnsiTheme="majorBidi" w:cstheme="majorBidi"/>
        </w:rPr>
      </w:pPr>
    </w:p>
    <w:p w14:paraId="557B339E" w14:textId="77777777" w:rsidR="009673A4" w:rsidRPr="0062027B" w:rsidRDefault="009673A4" w:rsidP="00454AA4">
      <w:pPr>
        <w:spacing w:line="480" w:lineRule="auto"/>
        <w:rPr>
          <w:rFonts w:asciiTheme="majorBidi" w:hAnsiTheme="majorBidi" w:cstheme="majorBidi"/>
        </w:rPr>
      </w:pPr>
    </w:p>
    <w:p w14:paraId="727819D9" w14:textId="77777777" w:rsidR="009673A4" w:rsidRPr="0062027B" w:rsidRDefault="009673A4" w:rsidP="00454AA4">
      <w:pPr>
        <w:spacing w:line="480" w:lineRule="auto"/>
        <w:rPr>
          <w:rFonts w:asciiTheme="majorBidi" w:hAnsiTheme="majorBidi" w:cstheme="majorBidi"/>
        </w:rPr>
      </w:pPr>
    </w:p>
    <w:p w14:paraId="048497CA" w14:textId="77777777" w:rsidR="009673A4" w:rsidRPr="0062027B" w:rsidRDefault="009673A4" w:rsidP="00454AA4">
      <w:pPr>
        <w:spacing w:line="480" w:lineRule="auto"/>
        <w:rPr>
          <w:rFonts w:asciiTheme="majorBidi" w:hAnsiTheme="majorBidi" w:cstheme="majorBidi"/>
        </w:rPr>
      </w:pPr>
    </w:p>
    <w:p w14:paraId="6DBFE0E5" w14:textId="77777777" w:rsidR="009673A4" w:rsidRPr="0062027B" w:rsidRDefault="009673A4" w:rsidP="00454AA4">
      <w:pPr>
        <w:spacing w:line="480" w:lineRule="auto"/>
        <w:rPr>
          <w:rFonts w:asciiTheme="majorBidi" w:hAnsiTheme="majorBidi" w:cstheme="majorBidi"/>
        </w:rPr>
      </w:pPr>
    </w:p>
    <w:p w14:paraId="75239A17" w14:textId="77777777" w:rsidR="00237278" w:rsidRPr="0062027B" w:rsidRDefault="00CD620A" w:rsidP="00454AA4">
      <w:pPr>
        <w:spacing w:line="480" w:lineRule="auto"/>
        <w:rPr>
          <w:rFonts w:asciiTheme="majorBidi" w:hAnsiTheme="majorBidi" w:cstheme="majorBidi"/>
          <w:lang w:val="en-US"/>
        </w:rPr>
      </w:pPr>
      <w:r w:rsidRPr="0062027B">
        <w:rPr>
          <w:rFonts w:asciiTheme="majorBidi" w:hAnsiTheme="majorBidi" w:cstheme="majorBidi"/>
          <w:lang w:val="en-US"/>
        </w:rPr>
        <w:t xml:space="preserve">In no more than </w:t>
      </w:r>
      <w:r w:rsidR="00D92F0A" w:rsidRPr="0062027B">
        <w:rPr>
          <w:rFonts w:asciiTheme="majorBidi" w:hAnsiTheme="majorBidi" w:cstheme="majorBidi"/>
          <w:lang w:val="en-US"/>
        </w:rPr>
        <w:t>1</w:t>
      </w:r>
      <w:r w:rsidR="00795108" w:rsidRPr="0062027B">
        <w:rPr>
          <w:rFonts w:asciiTheme="majorBidi" w:hAnsiTheme="majorBidi" w:cstheme="majorBidi"/>
          <w:lang w:val="en-US"/>
        </w:rPr>
        <w:t>000</w:t>
      </w:r>
      <w:r w:rsidRPr="0062027B">
        <w:rPr>
          <w:rFonts w:asciiTheme="majorBidi" w:hAnsiTheme="majorBidi" w:cstheme="majorBidi"/>
          <w:lang w:val="en-US"/>
        </w:rPr>
        <w:t xml:space="preserve"> words,</w:t>
      </w:r>
      <w:r w:rsidR="00795108" w:rsidRPr="0062027B">
        <w:rPr>
          <w:rFonts w:asciiTheme="majorBidi" w:hAnsiTheme="majorBidi" w:cstheme="majorBidi"/>
          <w:lang w:val="en-US"/>
        </w:rPr>
        <w:t xml:space="preserve"> and 2-3 refer</w:t>
      </w:r>
      <w:r w:rsidR="009673A4" w:rsidRPr="0062027B">
        <w:rPr>
          <w:rFonts w:asciiTheme="majorBidi" w:hAnsiTheme="majorBidi" w:cstheme="majorBidi"/>
          <w:lang w:val="en-US"/>
        </w:rPr>
        <w:t>e</w:t>
      </w:r>
      <w:r w:rsidR="00795108" w:rsidRPr="0062027B">
        <w:rPr>
          <w:rFonts w:asciiTheme="majorBidi" w:hAnsiTheme="majorBidi" w:cstheme="majorBidi"/>
          <w:lang w:val="en-US"/>
        </w:rPr>
        <w:t>nces,</w:t>
      </w:r>
      <w:r w:rsidRPr="0062027B">
        <w:rPr>
          <w:rFonts w:asciiTheme="majorBidi" w:hAnsiTheme="majorBidi" w:cstheme="majorBidi"/>
          <w:lang w:val="en-US"/>
        </w:rPr>
        <w:t xml:space="preserve"> </w:t>
      </w:r>
      <w:r w:rsidR="00237278" w:rsidRPr="0062027B">
        <w:rPr>
          <w:rFonts w:asciiTheme="majorBidi" w:hAnsiTheme="majorBidi" w:cstheme="majorBidi"/>
          <w:lang w:val="en-US"/>
        </w:rPr>
        <w:t>explain</w:t>
      </w:r>
      <w:r w:rsidR="009673A4" w:rsidRPr="0062027B">
        <w:rPr>
          <w:rFonts w:asciiTheme="majorBidi" w:hAnsiTheme="majorBidi" w:cstheme="majorBidi"/>
          <w:lang w:val="en-US"/>
        </w:rPr>
        <w:t xml:space="preserve"> one of the two following questions</w:t>
      </w:r>
      <w:r w:rsidR="00237278" w:rsidRPr="0062027B">
        <w:rPr>
          <w:rFonts w:asciiTheme="majorBidi" w:hAnsiTheme="majorBidi" w:cstheme="majorBidi"/>
          <w:lang w:val="en-US"/>
        </w:rPr>
        <w:t>:</w:t>
      </w:r>
    </w:p>
    <w:p w14:paraId="71DB4995" w14:textId="77777777" w:rsidR="00237278" w:rsidRPr="0062027B" w:rsidRDefault="00237278" w:rsidP="00454AA4">
      <w:pPr>
        <w:spacing w:line="480" w:lineRule="auto"/>
        <w:rPr>
          <w:rFonts w:asciiTheme="majorBidi" w:hAnsiTheme="majorBidi" w:cstheme="majorBidi"/>
          <w:lang w:val="en-US"/>
        </w:rPr>
      </w:pPr>
    </w:p>
    <w:p w14:paraId="04A2C242" w14:textId="77777777" w:rsidR="009673A4" w:rsidRPr="0062027B" w:rsidRDefault="009673A4" w:rsidP="00454AA4">
      <w:pPr>
        <w:pStyle w:val="ListParagraph"/>
        <w:numPr>
          <w:ilvl w:val="0"/>
          <w:numId w:val="11"/>
        </w:numPr>
        <w:spacing w:line="480" w:lineRule="auto"/>
        <w:rPr>
          <w:rFonts w:asciiTheme="majorBidi" w:hAnsiTheme="majorBidi" w:cstheme="majorBidi"/>
          <w:lang w:val="en-US"/>
        </w:rPr>
      </w:pPr>
      <w:r w:rsidRPr="0062027B">
        <w:rPr>
          <w:rFonts w:asciiTheme="majorBidi" w:hAnsiTheme="majorBidi" w:cstheme="majorBidi"/>
          <w:lang w:val="en-US"/>
        </w:rPr>
        <w:t>How can tourism accelerate cultural homogenization in host communities?</w:t>
      </w:r>
    </w:p>
    <w:p w14:paraId="73030B75" w14:textId="77777777" w:rsidR="00795108" w:rsidRPr="0062027B" w:rsidRDefault="009673A4" w:rsidP="00454AA4">
      <w:pPr>
        <w:pStyle w:val="ListParagraph"/>
        <w:numPr>
          <w:ilvl w:val="0"/>
          <w:numId w:val="11"/>
        </w:numPr>
        <w:spacing w:line="480" w:lineRule="auto"/>
        <w:rPr>
          <w:rFonts w:asciiTheme="majorBidi" w:hAnsiTheme="majorBidi" w:cstheme="majorBidi"/>
          <w:lang w:val="en-US"/>
        </w:rPr>
      </w:pPr>
      <w:r w:rsidRPr="0062027B">
        <w:rPr>
          <w:rFonts w:asciiTheme="majorBidi" w:hAnsiTheme="majorBidi" w:cstheme="majorBidi"/>
          <w:lang w:val="en-US"/>
        </w:rPr>
        <w:t>What strategies can tourism businesses use to survive during commercial disruptions (pandemics, recessions)?</w:t>
      </w:r>
    </w:p>
    <w:p w14:paraId="1787FC0F" w14:textId="77777777" w:rsidR="0050100F" w:rsidRPr="0062027B" w:rsidRDefault="0050100F" w:rsidP="00454AA4">
      <w:pPr>
        <w:pStyle w:val="ListParagraph"/>
        <w:spacing w:line="480" w:lineRule="auto"/>
        <w:rPr>
          <w:rFonts w:asciiTheme="majorBidi" w:hAnsiTheme="majorBidi" w:cstheme="majorBidi"/>
          <w:lang w:val="en-US"/>
        </w:rPr>
      </w:pPr>
    </w:p>
    <w:p w14:paraId="765B49F6" w14:textId="77777777" w:rsidR="00454AA4" w:rsidRPr="0062027B" w:rsidRDefault="00454AA4" w:rsidP="00454AA4">
      <w:pPr>
        <w:pStyle w:val="ListParagraph"/>
        <w:spacing w:line="480" w:lineRule="auto"/>
        <w:rPr>
          <w:rFonts w:asciiTheme="majorBidi" w:hAnsiTheme="majorBidi" w:cstheme="majorBidi"/>
          <w:lang w:val="en-US"/>
        </w:rPr>
      </w:pPr>
    </w:p>
    <w:p w14:paraId="7939AD83" w14:textId="77777777" w:rsidR="0062027B" w:rsidRPr="0062027B" w:rsidRDefault="0062027B" w:rsidP="0062027B">
      <w:pPr>
        <w:pStyle w:val="ListParagraph"/>
        <w:spacing w:line="480" w:lineRule="auto"/>
        <w:rPr>
          <w:rFonts w:asciiTheme="majorBidi" w:hAnsiTheme="majorBidi" w:cstheme="majorBidi"/>
          <w:lang w:val="en-GB"/>
        </w:rPr>
      </w:pPr>
      <w:r w:rsidRPr="0062027B">
        <w:rPr>
          <w:rFonts w:asciiTheme="majorBidi" w:hAnsiTheme="majorBidi" w:cstheme="majorBidi"/>
          <w:lang w:val="en-GB"/>
        </w:rPr>
        <w:lastRenderedPageBreak/>
        <w:t>How Tourism Accelerates Cultural Homogenization in Host Communities (≈1000 words)</w:t>
      </w:r>
    </w:p>
    <w:p w14:paraId="34C27AA5" w14:textId="77777777" w:rsidR="0062027B" w:rsidRPr="0062027B" w:rsidRDefault="0062027B" w:rsidP="0062027B">
      <w:pPr>
        <w:pStyle w:val="ListParagraph"/>
        <w:spacing w:line="480" w:lineRule="auto"/>
        <w:rPr>
          <w:rFonts w:asciiTheme="majorBidi" w:hAnsiTheme="majorBidi" w:cstheme="majorBidi"/>
          <w:lang w:val="en-GB"/>
        </w:rPr>
      </w:pPr>
      <w:r w:rsidRPr="0062027B">
        <w:rPr>
          <w:rFonts w:asciiTheme="majorBidi" w:hAnsiTheme="majorBidi" w:cstheme="majorBidi"/>
          <w:lang w:val="en-GB"/>
        </w:rPr>
        <w:t xml:space="preserve">Tourism is a global industry that fosters economic growth, cultural exchange, and community development. However, its rapid expansion also contributes to cultural homogenization, where unique cultural identities gradually become standardized to resemble global patterns. As tourism becomes deeply embedded in local economies, cultural traditions, lifestyles, and physical environments adapt to meet the preferences of international visitors. This essay </w:t>
      </w:r>
      <w:proofErr w:type="spellStart"/>
      <w:r w:rsidRPr="0062027B">
        <w:rPr>
          <w:rFonts w:asciiTheme="majorBidi" w:hAnsiTheme="majorBidi" w:cstheme="majorBidi"/>
          <w:lang w:val="en-GB"/>
        </w:rPr>
        <w:t>analyzes</w:t>
      </w:r>
      <w:proofErr w:type="spellEnd"/>
      <w:r w:rsidRPr="0062027B">
        <w:rPr>
          <w:rFonts w:asciiTheme="majorBidi" w:hAnsiTheme="majorBidi" w:cstheme="majorBidi"/>
          <w:lang w:val="en-GB"/>
        </w:rPr>
        <w:t xml:space="preserve"> the </w:t>
      </w:r>
      <w:proofErr w:type="gramStart"/>
      <w:r w:rsidRPr="0062027B">
        <w:rPr>
          <w:rFonts w:asciiTheme="majorBidi" w:hAnsiTheme="majorBidi" w:cstheme="majorBidi"/>
          <w:lang w:val="en-GB"/>
        </w:rPr>
        <w:t>key ways</w:t>
      </w:r>
      <w:proofErr w:type="gramEnd"/>
      <w:r w:rsidRPr="0062027B">
        <w:rPr>
          <w:rFonts w:asciiTheme="majorBidi" w:hAnsiTheme="majorBidi" w:cstheme="majorBidi"/>
          <w:lang w:val="en-GB"/>
        </w:rPr>
        <w:t xml:space="preserve"> tourism accelerates cultural homogenization by focusing on cultural commodification, global business expansion, social influence, and the power of digital media in shaping cultural expectations.</w:t>
      </w:r>
    </w:p>
    <w:p w14:paraId="23E7CFC1" w14:textId="77777777" w:rsidR="0062027B" w:rsidRPr="0062027B" w:rsidRDefault="0062027B" w:rsidP="0062027B">
      <w:pPr>
        <w:pStyle w:val="ListParagraph"/>
        <w:spacing w:line="480" w:lineRule="auto"/>
        <w:rPr>
          <w:rFonts w:asciiTheme="majorBidi" w:hAnsiTheme="majorBidi" w:cstheme="majorBidi"/>
          <w:lang w:val="en-GB"/>
        </w:rPr>
      </w:pPr>
      <w:r w:rsidRPr="0062027B">
        <w:rPr>
          <w:rFonts w:asciiTheme="majorBidi" w:hAnsiTheme="majorBidi" w:cstheme="majorBidi"/>
          <w:lang w:val="en-GB"/>
        </w:rPr>
        <w:t>To begin with, tourism drives homogenization through the commodification and reconstruction of cultural traditions. When tourists seek cultural experiences, local communities respond by transforming cultural practices into consumable products. As Richards (2018) explains, cultural performances often shift from being community-</w:t>
      </w:r>
      <w:proofErr w:type="spellStart"/>
      <w:r w:rsidRPr="0062027B">
        <w:rPr>
          <w:rFonts w:asciiTheme="majorBidi" w:hAnsiTheme="majorBidi" w:cstheme="majorBidi"/>
          <w:lang w:val="en-GB"/>
        </w:rPr>
        <w:t>centered</w:t>
      </w:r>
      <w:proofErr w:type="spellEnd"/>
      <w:r w:rsidRPr="0062027B">
        <w:rPr>
          <w:rFonts w:asciiTheme="majorBidi" w:hAnsiTheme="majorBidi" w:cstheme="majorBidi"/>
          <w:lang w:val="en-GB"/>
        </w:rPr>
        <w:t xml:space="preserve"> to tourist-</w:t>
      </w:r>
      <w:proofErr w:type="spellStart"/>
      <w:r w:rsidRPr="0062027B">
        <w:rPr>
          <w:rFonts w:asciiTheme="majorBidi" w:hAnsiTheme="majorBidi" w:cstheme="majorBidi"/>
          <w:lang w:val="en-GB"/>
        </w:rPr>
        <w:t>centered</w:t>
      </w:r>
      <w:proofErr w:type="spellEnd"/>
      <w:r w:rsidRPr="0062027B">
        <w:rPr>
          <w:rFonts w:asciiTheme="majorBidi" w:hAnsiTheme="majorBidi" w:cstheme="majorBidi"/>
          <w:lang w:val="en-GB"/>
        </w:rPr>
        <w:t xml:space="preserve">, resulting in staged authenticity. Traditional songs, ceremonies, and festivals may be shortened, simplified, or reorganized to suit tourist schedules. Over time, these commercialized versions overshadow authentic traditions, especially among younger generations. An example can be seen in Indigenous </w:t>
      </w:r>
      <w:proofErr w:type="gramStart"/>
      <w:r w:rsidRPr="0062027B">
        <w:rPr>
          <w:rFonts w:asciiTheme="majorBidi" w:hAnsiTheme="majorBidi" w:cstheme="majorBidi"/>
          <w:lang w:val="en-GB"/>
        </w:rPr>
        <w:t>communities</w:t>
      </w:r>
      <w:proofErr w:type="gramEnd"/>
      <w:r w:rsidRPr="0062027B">
        <w:rPr>
          <w:rFonts w:asciiTheme="majorBidi" w:hAnsiTheme="majorBidi" w:cstheme="majorBidi"/>
          <w:lang w:val="en-GB"/>
        </w:rPr>
        <w:t xml:space="preserve"> in North America and Oceania, where cultural dances once tied to specific rituals are now performed daily in tourism venues.</w:t>
      </w:r>
    </w:p>
    <w:p w14:paraId="0F19E15A" w14:textId="77777777" w:rsidR="0062027B" w:rsidRPr="0062027B" w:rsidRDefault="0062027B" w:rsidP="0062027B">
      <w:pPr>
        <w:pStyle w:val="ListParagraph"/>
        <w:spacing w:line="480" w:lineRule="auto"/>
        <w:rPr>
          <w:rFonts w:asciiTheme="majorBidi" w:hAnsiTheme="majorBidi" w:cstheme="majorBidi"/>
          <w:lang w:val="en-GB"/>
        </w:rPr>
      </w:pPr>
      <w:r w:rsidRPr="0062027B">
        <w:rPr>
          <w:rFonts w:asciiTheme="majorBidi" w:hAnsiTheme="majorBidi" w:cstheme="majorBidi"/>
          <w:lang w:val="en-GB"/>
        </w:rPr>
        <w:t xml:space="preserve">Tourism also promotes cultural homogenization through the influx of global corporations and brand standardization. International hotel chains, food outlets, and retail companies often dominate tourism economies due to their global recognition and marketing power. According to Edensor (2018), the replication of global business models in tourism destinations produces predictable environments that resemble </w:t>
      </w:r>
      <w:r w:rsidRPr="0062027B">
        <w:rPr>
          <w:rFonts w:asciiTheme="majorBidi" w:hAnsiTheme="majorBidi" w:cstheme="majorBidi"/>
          <w:lang w:val="en-GB"/>
        </w:rPr>
        <w:lastRenderedPageBreak/>
        <w:t>major cities worldwide. The spread of brands such as Starbucks, McDonald’s, and H&amp;M fosters uniform consumer experiences, replacing local culinary traditions, artisan markets, and small family-owned shops. As local businesses adopt global standards in décor, service, and marketing to remain competitive, cultural uniqueness gradually fades.</w:t>
      </w:r>
    </w:p>
    <w:p w14:paraId="6EE7030C" w14:textId="77777777" w:rsidR="0062027B" w:rsidRPr="0062027B" w:rsidRDefault="0062027B" w:rsidP="0062027B">
      <w:pPr>
        <w:pStyle w:val="ListParagraph"/>
        <w:spacing w:line="480" w:lineRule="auto"/>
        <w:rPr>
          <w:rFonts w:asciiTheme="majorBidi" w:hAnsiTheme="majorBidi" w:cstheme="majorBidi"/>
          <w:lang w:val="en-GB"/>
        </w:rPr>
      </w:pPr>
      <w:r w:rsidRPr="0062027B">
        <w:rPr>
          <w:rFonts w:asciiTheme="majorBidi" w:hAnsiTheme="majorBidi" w:cstheme="majorBidi"/>
          <w:lang w:val="en-GB"/>
        </w:rPr>
        <w:t xml:space="preserve">Local communities also undergo cultural homogenization through changes in lifestyle, identity, and social </w:t>
      </w:r>
      <w:proofErr w:type="spellStart"/>
      <w:r w:rsidRPr="0062027B">
        <w:rPr>
          <w:rFonts w:asciiTheme="majorBidi" w:hAnsiTheme="majorBidi" w:cstheme="majorBidi"/>
          <w:lang w:val="en-GB"/>
        </w:rPr>
        <w:t>behavior</w:t>
      </w:r>
      <w:proofErr w:type="spellEnd"/>
      <w:r w:rsidRPr="0062027B">
        <w:rPr>
          <w:rFonts w:asciiTheme="majorBidi" w:hAnsiTheme="majorBidi" w:cstheme="majorBidi"/>
          <w:lang w:val="en-GB"/>
        </w:rPr>
        <w:t xml:space="preserve"> influenced by tourist interactions. Tourism exposes residents to foreign languages, fashion styles, and spending habits. Over time, these influences reshape local values. </w:t>
      </w:r>
      <w:proofErr w:type="spellStart"/>
      <w:r w:rsidRPr="0062027B">
        <w:rPr>
          <w:rFonts w:asciiTheme="majorBidi" w:hAnsiTheme="majorBidi" w:cstheme="majorBidi"/>
          <w:lang w:val="en-GB"/>
        </w:rPr>
        <w:t>Mbaiwa</w:t>
      </w:r>
      <w:proofErr w:type="spellEnd"/>
      <w:r w:rsidRPr="0062027B">
        <w:rPr>
          <w:rFonts w:asciiTheme="majorBidi" w:hAnsiTheme="majorBidi" w:cstheme="majorBidi"/>
          <w:lang w:val="en-GB"/>
        </w:rPr>
        <w:t xml:space="preserve"> (2022) notes that youth in tourism-intensive regions often aspire to adopt Westernized lifestyles observed among tourists, including modern fashion, nightlife culture, and technological habits. This shift alters community norms, modifies gender roles, and reduces reliance on traditional customs and crafts. As global cultural preferences become more desirable, traditional cultural identity becomes less central to everyday life.</w:t>
      </w:r>
    </w:p>
    <w:p w14:paraId="2F6CDCE5" w14:textId="77777777" w:rsidR="0062027B" w:rsidRPr="0062027B" w:rsidRDefault="0062027B" w:rsidP="0062027B">
      <w:pPr>
        <w:pStyle w:val="ListParagraph"/>
        <w:spacing w:line="480" w:lineRule="auto"/>
        <w:rPr>
          <w:rFonts w:asciiTheme="majorBidi" w:hAnsiTheme="majorBidi" w:cstheme="majorBidi"/>
          <w:lang w:val="en-GB"/>
        </w:rPr>
      </w:pPr>
      <w:r w:rsidRPr="0062027B">
        <w:rPr>
          <w:rFonts w:asciiTheme="majorBidi" w:hAnsiTheme="majorBidi" w:cstheme="majorBidi"/>
          <w:lang w:val="en-GB"/>
        </w:rPr>
        <w:t>Physical environments undergo significant transformations that further reinforce homogenization. To attract tourists, governments and investors construct modern infrastructure that aligns with international expectations. This includes luxury resorts, themed shopping districts, international-style restaurants, and entertainment complexes. Saarinen (2020) emphasizes that many tourism landscapes now feature “placeless architecture,” where buildings reflect standardized global aesthetics rather than local cultural styles. Historic areas may be renovated or reconstructed in ways that prioritize tourist appeal rather than cultural accuracy. As a result, the physical appearance of many tourism destinations becomes increasingly uniform.</w:t>
      </w:r>
    </w:p>
    <w:p w14:paraId="7E6308A4" w14:textId="77777777" w:rsidR="0062027B" w:rsidRPr="0062027B" w:rsidRDefault="0062027B" w:rsidP="0062027B">
      <w:pPr>
        <w:pStyle w:val="ListParagraph"/>
        <w:spacing w:line="480" w:lineRule="auto"/>
        <w:rPr>
          <w:rFonts w:asciiTheme="majorBidi" w:hAnsiTheme="majorBidi" w:cstheme="majorBidi"/>
          <w:lang w:val="en-GB"/>
        </w:rPr>
      </w:pPr>
      <w:r w:rsidRPr="0062027B">
        <w:rPr>
          <w:rFonts w:asciiTheme="majorBidi" w:hAnsiTheme="majorBidi" w:cstheme="majorBidi"/>
          <w:lang w:val="en-GB"/>
        </w:rPr>
        <w:t xml:space="preserve">A modern factor reinforcing cultural homogenization is digital media’s influence on global tourism imagery. Platforms such as Instagram and TikTok promote specific </w:t>
      </w:r>
      <w:r w:rsidRPr="0062027B">
        <w:rPr>
          <w:rFonts w:asciiTheme="majorBidi" w:hAnsiTheme="majorBidi" w:cstheme="majorBidi"/>
          <w:lang w:val="en-GB"/>
        </w:rPr>
        <w:lastRenderedPageBreak/>
        <w:t xml:space="preserve">visual aesthetics that destinations replicate to attract visitors. </w:t>
      </w:r>
      <w:proofErr w:type="gramStart"/>
      <w:r w:rsidRPr="0062027B">
        <w:rPr>
          <w:rFonts w:asciiTheme="majorBidi" w:hAnsiTheme="majorBidi" w:cstheme="majorBidi"/>
          <w:lang w:val="en-GB"/>
        </w:rPr>
        <w:t>These aesthetics</w:t>
      </w:r>
      <w:proofErr w:type="gramEnd"/>
      <w:r w:rsidRPr="0062027B">
        <w:rPr>
          <w:rFonts w:asciiTheme="majorBidi" w:hAnsiTheme="majorBidi" w:cstheme="majorBidi"/>
          <w:lang w:val="en-GB"/>
        </w:rPr>
        <w:t xml:space="preserve"> include trendy cafés, pastel-</w:t>
      </w:r>
      <w:proofErr w:type="spellStart"/>
      <w:r w:rsidRPr="0062027B">
        <w:rPr>
          <w:rFonts w:asciiTheme="majorBidi" w:hAnsiTheme="majorBidi" w:cstheme="majorBidi"/>
          <w:lang w:val="en-GB"/>
        </w:rPr>
        <w:t>colored</w:t>
      </w:r>
      <w:proofErr w:type="spellEnd"/>
      <w:r w:rsidRPr="0062027B">
        <w:rPr>
          <w:rFonts w:asciiTheme="majorBidi" w:hAnsiTheme="majorBidi" w:cstheme="majorBidi"/>
          <w:lang w:val="en-GB"/>
        </w:rPr>
        <w:t xml:space="preserve"> walls, curated murals, and highly stylized food presentations. According to Huang and Liu (2020), social media creates powerful visual narratives that shape both tourist expectations and local responses. As local businesses redesign their spaces to appear “social media friendly,” they adopt similar global design styles and marketing strategies, diminishing local cultural expression.</w:t>
      </w:r>
    </w:p>
    <w:p w14:paraId="384F7869" w14:textId="77777777" w:rsidR="0062027B" w:rsidRPr="0062027B" w:rsidRDefault="0062027B" w:rsidP="0062027B">
      <w:pPr>
        <w:pStyle w:val="ListParagraph"/>
        <w:spacing w:line="480" w:lineRule="auto"/>
        <w:rPr>
          <w:rFonts w:asciiTheme="majorBidi" w:hAnsiTheme="majorBidi" w:cstheme="majorBidi"/>
          <w:lang w:val="en-GB"/>
        </w:rPr>
      </w:pPr>
      <w:r w:rsidRPr="0062027B">
        <w:rPr>
          <w:rFonts w:asciiTheme="majorBidi" w:hAnsiTheme="majorBidi" w:cstheme="majorBidi"/>
          <w:lang w:val="en-GB"/>
        </w:rPr>
        <w:t>Despite these challenges, tourism does not have to lead to irreversible cultural loss. Sustainable and community-based tourism models can preserve local culture by emphasizing authenticity, local ownership, and heritage protection. Policy measures such as limiting foreign franchises in historic districts, supporting traditional artisans, and implementing cultural education programs can strengthen cultural resilience. When tourism development is guided by community values rather than purely commercial motives, it becomes possible to protect cultural diversity while still benefiting economically.</w:t>
      </w:r>
    </w:p>
    <w:p w14:paraId="5BCB1F4C" w14:textId="77777777" w:rsidR="0062027B" w:rsidRPr="0062027B" w:rsidRDefault="0062027B" w:rsidP="0062027B">
      <w:pPr>
        <w:pStyle w:val="ListParagraph"/>
        <w:spacing w:line="480" w:lineRule="auto"/>
        <w:rPr>
          <w:rFonts w:asciiTheme="majorBidi" w:hAnsiTheme="majorBidi" w:cstheme="majorBidi"/>
          <w:lang w:val="en-GB"/>
        </w:rPr>
      </w:pPr>
      <w:r w:rsidRPr="0062027B">
        <w:rPr>
          <w:rFonts w:asciiTheme="majorBidi" w:hAnsiTheme="majorBidi" w:cstheme="majorBidi"/>
          <w:lang w:val="en-GB"/>
        </w:rPr>
        <w:t>In summary, tourism accelerates cultural homogenization through the commodification of traditions, the expansion of global brands, lifestyle changes among residents, transformation of physical landscapes, and the influence of digital media. These factors collectively reduce cultural uniqueness as local communities adopt global norms. Although tourism remains an essential economic engine, deliberate cultural preservation strategies are necessary to maintain the distinct identities of host communities.</w:t>
      </w:r>
    </w:p>
    <w:p w14:paraId="1A7C8792" w14:textId="77777777" w:rsidR="0062027B" w:rsidRPr="0062027B" w:rsidRDefault="0062027B" w:rsidP="0062027B">
      <w:pPr>
        <w:pStyle w:val="ListParagraph"/>
        <w:spacing w:line="480" w:lineRule="auto"/>
        <w:rPr>
          <w:rFonts w:asciiTheme="majorBidi" w:hAnsiTheme="majorBidi" w:cstheme="majorBidi"/>
          <w:lang w:val="en-GB"/>
        </w:rPr>
      </w:pPr>
      <w:r w:rsidRPr="0062027B">
        <w:rPr>
          <w:rFonts w:asciiTheme="majorBidi" w:hAnsiTheme="majorBidi" w:cstheme="majorBidi"/>
          <w:lang w:val="en-GB"/>
        </w:rPr>
        <w:t>References (APA)</w:t>
      </w:r>
    </w:p>
    <w:p w14:paraId="3669A12A" w14:textId="77777777" w:rsidR="0062027B" w:rsidRPr="0062027B" w:rsidRDefault="0062027B" w:rsidP="0062027B">
      <w:pPr>
        <w:pStyle w:val="ListParagraph"/>
        <w:spacing w:line="480" w:lineRule="auto"/>
        <w:rPr>
          <w:rFonts w:asciiTheme="majorBidi" w:hAnsiTheme="majorBidi" w:cstheme="majorBidi"/>
          <w:lang w:val="en-GB"/>
        </w:rPr>
      </w:pPr>
      <w:r w:rsidRPr="0062027B">
        <w:rPr>
          <w:rFonts w:asciiTheme="majorBidi" w:hAnsiTheme="majorBidi" w:cstheme="majorBidi"/>
          <w:lang w:val="en-GB"/>
        </w:rPr>
        <w:t xml:space="preserve">Edensor, T. (2018). </w:t>
      </w:r>
      <w:r w:rsidRPr="0062027B">
        <w:rPr>
          <w:rFonts w:asciiTheme="majorBidi" w:hAnsiTheme="majorBidi" w:cstheme="majorBidi"/>
          <w:i/>
          <w:iCs/>
          <w:lang w:val="en-GB"/>
        </w:rPr>
        <w:t>Tourism, performance and modernity</w:t>
      </w:r>
      <w:r w:rsidRPr="0062027B">
        <w:rPr>
          <w:rFonts w:asciiTheme="majorBidi" w:hAnsiTheme="majorBidi" w:cstheme="majorBidi"/>
          <w:lang w:val="en-GB"/>
        </w:rPr>
        <w:t>. Routledge.</w:t>
      </w:r>
      <w:r w:rsidRPr="0062027B">
        <w:rPr>
          <w:rFonts w:asciiTheme="majorBidi" w:hAnsiTheme="majorBidi" w:cstheme="majorBidi"/>
          <w:lang w:val="en-GB"/>
        </w:rPr>
        <w:br/>
        <w:t xml:space="preserve">Huang, R., &amp; Liu, Y. (2020). Social media, destination images, and cultural standardization. </w:t>
      </w:r>
      <w:r w:rsidRPr="0062027B">
        <w:rPr>
          <w:rFonts w:asciiTheme="majorBidi" w:hAnsiTheme="majorBidi" w:cstheme="majorBidi"/>
          <w:i/>
          <w:iCs/>
          <w:lang w:val="en-GB"/>
        </w:rPr>
        <w:t>Journal of Travel &amp; Tourism Marketing, 37</w:t>
      </w:r>
      <w:r w:rsidRPr="0062027B">
        <w:rPr>
          <w:rFonts w:asciiTheme="majorBidi" w:hAnsiTheme="majorBidi" w:cstheme="majorBidi"/>
          <w:lang w:val="en-GB"/>
        </w:rPr>
        <w:t>(7), 821–835.</w:t>
      </w:r>
      <w:r w:rsidRPr="0062027B">
        <w:rPr>
          <w:rFonts w:asciiTheme="majorBidi" w:hAnsiTheme="majorBidi" w:cstheme="majorBidi"/>
          <w:lang w:val="en-GB"/>
        </w:rPr>
        <w:br/>
      </w:r>
      <w:proofErr w:type="spellStart"/>
      <w:r w:rsidRPr="0062027B">
        <w:rPr>
          <w:rFonts w:asciiTheme="majorBidi" w:hAnsiTheme="majorBidi" w:cstheme="majorBidi"/>
          <w:lang w:val="en-GB"/>
        </w:rPr>
        <w:lastRenderedPageBreak/>
        <w:t>Mbaiwa</w:t>
      </w:r>
      <w:proofErr w:type="spellEnd"/>
      <w:r w:rsidRPr="0062027B">
        <w:rPr>
          <w:rFonts w:asciiTheme="majorBidi" w:hAnsiTheme="majorBidi" w:cstheme="majorBidi"/>
          <w:lang w:val="en-GB"/>
        </w:rPr>
        <w:t xml:space="preserve">, J. (2022). Cultural change and globalization in tourism communities. </w:t>
      </w:r>
      <w:r w:rsidRPr="0062027B">
        <w:rPr>
          <w:rFonts w:asciiTheme="majorBidi" w:hAnsiTheme="majorBidi" w:cstheme="majorBidi"/>
          <w:i/>
          <w:iCs/>
          <w:lang w:val="en-GB"/>
        </w:rPr>
        <w:t>Journal of Sustainable Tourism, 30</w:t>
      </w:r>
      <w:r w:rsidRPr="0062027B">
        <w:rPr>
          <w:rFonts w:asciiTheme="majorBidi" w:hAnsiTheme="majorBidi" w:cstheme="majorBidi"/>
          <w:lang w:val="en-GB"/>
        </w:rPr>
        <w:t>(1), 9–22.</w:t>
      </w:r>
      <w:r w:rsidRPr="0062027B">
        <w:rPr>
          <w:rFonts w:asciiTheme="majorBidi" w:hAnsiTheme="majorBidi" w:cstheme="majorBidi"/>
          <w:lang w:val="en-GB"/>
        </w:rPr>
        <w:br/>
        <w:t xml:space="preserve">Richards, G. (2018). Cultural tourism: A review of recent research. </w:t>
      </w:r>
      <w:r w:rsidRPr="0062027B">
        <w:rPr>
          <w:rFonts w:asciiTheme="majorBidi" w:hAnsiTheme="majorBidi" w:cstheme="majorBidi"/>
          <w:i/>
          <w:iCs/>
          <w:lang w:val="en-GB"/>
        </w:rPr>
        <w:t>Tourism Management, 70</w:t>
      </w:r>
      <w:r w:rsidRPr="0062027B">
        <w:rPr>
          <w:rFonts w:asciiTheme="majorBidi" w:hAnsiTheme="majorBidi" w:cstheme="majorBidi"/>
          <w:lang w:val="en-GB"/>
        </w:rPr>
        <w:t>, 232–244.</w:t>
      </w:r>
      <w:r w:rsidRPr="0062027B">
        <w:rPr>
          <w:rFonts w:asciiTheme="majorBidi" w:hAnsiTheme="majorBidi" w:cstheme="majorBidi"/>
          <w:lang w:val="en-GB"/>
        </w:rPr>
        <w:br/>
        <w:t xml:space="preserve">Saarinen, J. (2020). Tourism development and place identity. </w:t>
      </w:r>
      <w:r w:rsidRPr="0062027B">
        <w:rPr>
          <w:rFonts w:asciiTheme="majorBidi" w:hAnsiTheme="majorBidi" w:cstheme="majorBidi"/>
          <w:i/>
          <w:iCs/>
          <w:lang w:val="en-GB"/>
        </w:rPr>
        <w:t>Annals of Tourism Research, 85</w:t>
      </w:r>
      <w:r w:rsidRPr="0062027B">
        <w:rPr>
          <w:rFonts w:asciiTheme="majorBidi" w:hAnsiTheme="majorBidi" w:cstheme="majorBidi"/>
          <w:lang w:val="en-GB"/>
        </w:rPr>
        <w:t>, 102–118.</w:t>
      </w:r>
    </w:p>
    <w:p w14:paraId="478C2CA7" w14:textId="4772AC1A" w:rsidR="0050100F" w:rsidRPr="0062027B" w:rsidRDefault="0050100F" w:rsidP="00454AA4">
      <w:pPr>
        <w:pStyle w:val="ListParagraph"/>
        <w:spacing w:line="480" w:lineRule="auto"/>
        <w:rPr>
          <w:rFonts w:asciiTheme="majorBidi" w:hAnsiTheme="majorBidi" w:cstheme="majorBidi"/>
          <w:lang w:val="en-US"/>
        </w:rPr>
      </w:pPr>
    </w:p>
    <w:sectPr w:rsidR="0050100F" w:rsidRPr="006202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D4C8747-DC39-43FA-8470-AD4102C4946F}"/>
    <w:embedItalic r:id="rId2" w:fontKey="{BBD7CA4A-43D5-4CD6-8978-C063BA29AAE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9EB5DE2-8C59-4517-B61B-D70755E11A6D}"/>
  </w:font>
  <w:font w:name="Calibri Light">
    <w:panose1 w:val="020F0302020204030204"/>
    <w:charset w:val="00"/>
    <w:family w:val="swiss"/>
    <w:pitch w:val="variable"/>
    <w:sig w:usb0="E4002EFF" w:usb1="C000247B" w:usb2="00000009" w:usb3="00000000" w:csb0="000001FF" w:csb1="00000000"/>
    <w:embedRegular r:id="rId4" w:fontKey="{185C8CFE-E0E8-4439-A5EF-7E3C76027C8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54AA4"/>
    <w:rsid w:val="00477CAA"/>
    <w:rsid w:val="0050100F"/>
    <w:rsid w:val="00502E29"/>
    <w:rsid w:val="005B0DB3"/>
    <w:rsid w:val="005D6F0D"/>
    <w:rsid w:val="005E458B"/>
    <w:rsid w:val="0062027B"/>
    <w:rsid w:val="00637F36"/>
    <w:rsid w:val="00661030"/>
    <w:rsid w:val="006F6FA4"/>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65E00"/>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79EF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2025-12-08T14:57:00Z</dcterms:created>
  <dcterms:modified xsi:type="dcterms:W3CDTF">2025-12-08T14:57:00Z</dcterms:modified>
</cp:coreProperties>
</file>