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4DE97D6B" w14:textId="428836D3" w:rsidR="0073676E" w:rsidRDefault="00BB240B" w:rsidP="0073676E">
      <w:pPr>
        <w:spacing w:line="480" w:lineRule="auto"/>
        <w:rPr>
          <w:b/>
          <w:bCs/>
          <w:lang w:val="en-US"/>
        </w:rPr>
      </w:pPr>
      <w:r w:rsidRPr="00BB240B">
        <w:rPr>
          <w:b/>
          <w:bCs/>
        </w:rPr>
        <w:lastRenderedPageBreak/>
        <w:t>Advantages of Implementing the Global Code of Ethics for Tourism in India</w:t>
      </w:r>
    </w:p>
    <w:p w14:paraId="6D5C8E85" w14:textId="77777777" w:rsidR="00BB240B" w:rsidRPr="00BB240B" w:rsidRDefault="00BB240B" w:rsidP="00BB240B">
      <w:pPr>
        <w:spacing w:line="480" w:lineRule="auto"/>
        <w:rPr>
          <w:lang w:val="en-GB"/>
        </w:rPr>
      </w:pPr>
      <w:r w:rsidRPr="00BB240B">
        <w:rPr>
          <w:lang w:val="en-GB"/>
        </w:rPr>
        <w:t xml:space="preserve">The Global Code of Ethics for tourist (GCET) gives India a strategic framework for dealing with environmental issues while also making its tourist industry more competitive in the long run. India, with its rich cultural legacy, diverse ecosystems, and socio-economic inequalities, can utilize ethical tourism concepts to promote equitable development that advantages both host communities and tourists. </w:t>
      </w:r>
      <w:r w:rsidRPr="00BB240B">
        <w:rPr>
          <w:lang w:val="en-GB"/>
        </w:rPr>
        <w:br/>
        <w:t>One big benefit is that it helps make destination management more sustainable. India's tourism boom has put a lot of stress on delicate ecosystems like coastal areas, hill stations, and wildlife reserves. The GCET stresses taking care of the environment, using resources wisely, and protecting biodiversity. These concepts can assist protect sensitive places, control the flow of visitors, and limit damage to the environment when they are built into tourist planning and rules. Sustainable tourism practices also help fight climate change by promoting low-impact transportation and infrastructure that uses less resources (</w:t>
      </w:r>
      <w:proofErr w:type="spellStart"/>
      <w:r w:rsidRPr="00BB240B">
        <w:rPr>
          <w:lang w:val="en-GB"/>
        </w:rPr>
        <w:t>Gössling</w:t>
      </w:r>
      <w:proofErr w:type="spellEnd"/>
      <w:r w:rsidRPr="00BB240B">
        <w:rPr>
          <w:lang w:val="en-GB"/>
        </w:rPr>
        <w:t xml:space="preserve"> et al., 2012). </w:t>
      </w:r>
      <w:r w:rsidRPr="00BB240B">
        <w:rPr>
          <w:lang w:val="en-GB"/>
        </w:rPr>
        <w:br/>
        <w:t xml:space="preserve">Another big benefit is that it promotes social justice and good jobs. Millions of people in India work in tourism, generally in informal or seasonal professions. The GCET stresses equitable working conditions, not discriminating against people, and protecting groups that are at risk. Adhering to these ethical norms can enhance job stability, skill acquisition, and workplace respect for tourism employees, especially women and youngsters. Ethical hiring practices also help keep employees and improve service quality, which strengthens the whole tourism value chain (Baum et al., 2016). </w:t>
      </w:r>
      <w:r w:rsidRPr="00BB240B">
        <w:rPr>
          <w:lang w:val="en-GB"/>
        </w:rPr>
        <w:br/>
        <w:t xml:space="preserve">The GCET also helps people in the community get involved and feel powerful. Many tourist spots in India are in rural or tribal areas where tourism may either help people make a living or cause problems in the community. Ethical tourism principles encourage people to own </w:t>
      </w:r>
      <w:r w:rsidRPr="00BB240B">
        <w:rPr>
          <w:lang w:val="en-GB"/>
        </w:rPr>
        <w:lastRenderedPageBreak/>
        <w:t xml:space="preserve">things, talk to each other, and share the benefits. India can lower tensions, stop cultural exploitation, and promote </w:t>
      </w:r>
      <w:proofErr w:type="gramStart"/>
      <w:r w:rsidRPr="00BB240B">
        <w:rPr>
          <w:lang w:val="en-GB"/>
        </w:rPr>
        <w:t>locally-based</w:t>
      </w:r>
      <w:proofErr w:type="gramEnd"/>
      <w:r w:rsidRPr="00BB240B">
        <w:rPr>
          <w:lang w:val="en-GB"/>
        </w:rPr>
        <w:t xml:space="preserve"> tourist concepts like village tourism and heritage homestays by including communities in tourism decision-making. Community empowerment makes a place more resilient and more accepting of tourism growth (</w:t>
      </w:r>
      <w:proofErr w:type="spellStart"/>
      <w:r w:rsidRPr="00BB240B">
        <w:rPr>
          <w:lang w:val="en-GB"/>
        </w:rPr>
        <w:t>Scheyvens</w:t>
      </w:r>
      <w:proofErr w:type="spellEnd"/>
      <w:r w:rsidRPr="00BB240B">
        <w:rPr>
          <w:lang w:val="en-GB"/>
        </w:rPr>
        <w:t xml:space="preserve">, 2011). </w:t>
      </w:r>
      <w:r w:rsidRPr="00BB240B">
        <w:rPr>
          <w:lang w:val="en-GB"/>
        </w:rPr>
        <w:br/>
        <w:t xml:space="preserve">Lastly, using the GCET makes the place more trustworthy and encourages tourists to act responsibly. Ethical principles teach tourists how to respect the laws, traditions, and cultures of the places they visit. This can help India deal with problems like pollution at religious places, being rude to people from other cultures, and being rude to the environment. Responsible tourist behaviour promotes the relationship between hosts and guests and strengthens India's reputation as a respectful and sustainable tourist destination in the worldwide market (Fennell, 2006). </w:t>
      </w:r>
      <w:r w:rsidRPr="00BB240B">
        <w:rPr>
          <w:lang w:val="en-GB"/>
        </w:rPr>
        <w:br/>
        <w:t xml:space="preserve">To sum up, India can achieve inclusive growth, safeguard the environment, promote social justice, and gain international reputation by following the Global Code of Ethics for Tourism. Ethical tourism is more than just a set of rules; it is a long-term investment in the country's sustainable growth. </w:t>
      </w:r>
    </w:p>
    <w:p w14:paraId="2B5AAC46" w14:textId="77777777" w:rsidR="00BB240B" w:rsidRPr="00BB240B" w:rsidRDefault="00BB240B" w:rsidP="0073676E">
      <w:pPr>
        <w:spacing w:line="480" w:lineRule="auto"/>
        <w:rPr>
          <w:lang w:val="en-US"/>
        </w:rPr>
      </w:pPr>
    </w:p>
    <w:p w14:paraId="11BF74E9" w14:textId="77777777" w:rsidR="0073676E" w:rsidRDefault="0073676E" w:rsidP="0073676E">
      <w:pPr>
        <w:spacing w:line="480" w:lineRule="auto"/>
        <w:rPr>
          <w:lang w:val="en-GB"/>
        </w:rPr>
      </w:pPr>
    </w:p>
    <w:p w14:paraId="5FE1FB47" w14:textId="77777777" w:rsidR="0073676E" w:rsidRDefault="0073676E" w:rsidP="0073676E">
      <w:pPr>
        <w:spacing w:line="480" w:lineRule="auto"/>
        <w:rPr>
          <w:lang w:val="en-GB"/>
        </w:rPr>
      </w:pPr>
    </w:p>
    <w:p w14:paraId="5656EDBA" w14:textId="77777777" w:rsidR="0073676E" w:rsidRDefault="0073676E" w:rsidP="0073676E">
      <w:pPr>
        <w:spacing w:line="480" w:lineRule="auto"/>
        <w:rPr>
          <w:lang w:val="en-GB"/>
        </w:rPr>
      </w:pPr>
    </w:p>
    <w:p w14:paraId="4D3DE756" w14:textId="77777777" w:rsidR="0073676E" w:rsidRDefault="0073676E" w:rsidP="0073676E">
      <w:pPr>
        <w:spacing w:line="480" w:lineRule="auto"/>
        <w:rPr>
          <w:lang w:val="en-GB"/>
        </w:rPr>
      </w:pPr>
    </w:p>
    <w:p w14:paraId="76EAC751" w14:textId="77777777" w:rsidR="0073676E" w:rsidRDefault="0073676E" w:rsidP="0073676E">
      <w:pPr>
        <w:spacing w:line="480" w:lineRule="auto"/>
        <w:rPr>
          <w:lang w:val="en-GB"/>
        </w:rPr>
      </w:pPr>
    </w:p>
    <w:p w14:paraId="58B47F83" w14:textId="77777777" w:rsidR="0073676E" w:rsidRDefault="0073676E" w:rsidP="0073676E">
      <w:pPr>
        <w:spacing w:line="480" w:lineRule="auto"/>
        <w:rPr>
          <w:lang w:val="en-GB"/>
        </w:rPr>
      </w:pPr>
    </w:p>
    <w:p w14:paraId="738F3222" w14:textId="77777777" w:rsidR="0073676E" w:rsidRDefault="0073676E" w:rsidP="0073676E">
      <w:pPr>
        <w:spacing w:line="480" w:lineRule="auto"/>
        <w:rPr>
          <w:lang w:val="en-GB"/>
        </w:rPr>
      </w:pPr>
    </w:p>
    <w:p w14:paraId="6DB54B67" w14:textId="77777777" w:rsidR="0073676E" w:rsidRPr="0073676E" w:rsidRDefault="0073676E" w:rsidP="0073676E">
      <w:pPr>
        <w:spacing w:line="480" w:lineRule="auto"/>
        <w:rPr>
          <w:lang w:val="en-GB"/>
        </w:rPr>
      </w:pPr>
    </w:p>
    <w:p w14:paraId="52DB6619" w14:textId="77777777" w:rsidR="0073676E" w:rsidRPr="0073676E" w:rsidRDefault="0073676E" w:rsidP="0073676E">
      <w:pPr>
        <w:spacing w:line="480" w:lineRule="auto"/>
        <w:rPr>
          <w:b/>
          <w:bCs/>
          <w:lang w:val="en-GB"/>
        </w:rPr>
      </w:pPr>
      <w:r w:rsidRPr="0073676E">
        <w:rPr>
          <w:b/>
          <w:bCs/>
          <w:lang w:val="en-GB"/>
        </w:rPr>
        <w:t>References (DOI)</w:t>
      </w:r>
    </w:p>
    <w:p w14:paraId="45E8BF59" w14:textId="77777777" w:rsidR="0073676E" w:rsidRPr="0073676E" w:rsidRDefault="0073676E" w:rsidP="0073676E">
      <w:pPr>
        <w:numPr>
          <w:ilvl w:val="0"/>
          <w:numId w:val="2"/>
        </w:numPr>
        <w:spacing w:line="480" w:lineRule="auto"/>
        <w:rPr>
          <w:lang w:val="en-GB"/>
        </w:rPr>
      </w:pPr>
      <w:r w:rsidRPr="0073676E">
        <w:rPr>
          <w:lang w:val="en-GB"/>
        </w:rPr>
        <w:t xml:space="preserve">Baum, T., Kralj, A., Robinson, R. N. S., &amp; </w:t>
      </w:r>
      <w:proofErr w:type="spellStart"/>
      <w:r w:rsidRPr="0073676E">
        <w:rPr>
          <w:lang w:val="en-GB"/>
        </w:rPr>
        <w:t>Solnet</w:t>
      </w:r>
      <w:proofErr w:type="spellEnd"/>
      <w:r w:rsidRPr="0073676E">
        <w:rPr>
          <w:lang w:val="en-GB"/>
        </w:rPr>
        <w:t xml:space="preserve">, D. J. (2016). Tourism workforce research: A review. </w:t>
      </w:r>
      <w:r w:rsidRPr="0073676E">
        <w:rPr>
          <w:i/>
          <w:iCs/>
          <w:lang w:val="en-GB"/>
        </w:rPr>
        <w:t>Annals of Tourism Research, 60</w:t>
      </w:r>
      <w:r w:rsidRPr="0073676E">
        <w:rPr>
          <w:lang w:val="en-GB"/>
        </w:rPr>
        <w:t>, 1–22. https://doi.org/10.1016/j.annals.2016.05.003</w:t>
      </w:r>
    </w:p>
    <w:p w14:paraId="0D019340" w14:textId="77777777" w:rsidR="0073676E" w:rsidRPr="0073676E" w:rsidRDefault="0073676E" w:rsidP="0073676E">
      <w:pPr>
        <w:numPr>
          <w:ilvl w:val="0"/>
          <w:numId w:val="2"/>
        </w:numPr>
        <w:spacing w:line="480" w:lineRule="auto"/>
        <w:rPr>
          <w:lang w:val="en-GB"/>
        </w:rPr>
      </w:pPr>
      <w:r w:rsidRPr="0073676E">
        <w:rPr>
          <w:lang w:val="en-GB"/>
        </w:rPr>
        <w:t xml:space="preserve">Fennell, D. A. (2006). Tourism ethics. </w:t>
      </w:r>
      <w:r w:rsidRPr="0073676E">
        <w:rPr>
          <w:i/>
          <w:iCs/>
          <w:lang w:val="en-GB"/>
        </w:rPr>
        <w:t>Tourism Management, 27</w:t>
      </w:r>
      <w:r w:rsidRPr="0073676E">
        <w:rPr>
          <w:lang w:val="en-GB"/>
        </w:rPr>
        <w:t>(6), 1025–1034. https://doi.org/10.1016/j.tourman.2005.11.004</w:t>
      </w:r>
    </w:p>
    <w:p w14:paraId="107AB088" w14:textId="77777777" w:rsidR="0073676E" w:rsidRPr="0073676E" w:rsidRDefault="0073676E" w:rsidP="0073676E">
      <w:pPr>
        <w:numPr>
          <w:ilvl w:val="0"/>
          <w:numId w:val="2"/>
        </w:numPr>
        <w:spacing w:line="480" w:lineRule="auto"/>
        <w:rPr>
          <w:lang w:val="en-GB"/>
        </w:rPr>
      </w:pPr>
      <w:proofErr w:type="spellStart"/>
      <w:r w:rsidRPr="0073676E">
        <w:rPr>
          <w:lang w:val="en-GB"/>
        </w:rPr>
        <w:t>Gössling</w:t>
      </w:r>
      <w:proofErr w:type="spellEnd"/>
      <w:r w:rsidRPr="0073676E">
        <w:rPr>
          <w:lang w:val="en-GB"/>
        </w:rPr>
        <w:t xml:space="preserve">, S., Scott, D., Hall, C. M., Ceron, J. P., &amp; Dubois, G. (2012). Consumer </w:t>
      </w:r>
      <w:proofErr w:type="spellStart"/>
      <w:r w:rsidRPr="0073676E">
        <w:rPr>
          <w:lang w:val="en-GB"/>
        </w:rPr>
        <w:t>behavior</w:t>
      </w:r>
      <w:proofErr w:type="spellEnd"/>
      <w:r w:rsidRPr="0073676E">
        <w:rPr>
          <w:lang w:val="en-GB"/>
        </w:rPr>
        <w:t xml:space="preserve"> and climate change. </w:t>
      </w:r>
      <w:r w:rsidRPr="0073676E">
        <w:rPr>
          <w:i/>
          <w:iCs/>
          <w:lang w:val="en-GB"/>
        </w:rPr>
        <w:t>Annals of Tourism Research, 39</w:t>
      </w:r>
      <w:r w:rsidRPr="0073676E">
        <w:rPr>
          <w:lang w:val="en-GB"/>
        </w:rPr>
        <w:t>(1), 36–58. https://doi.org/10.1016/j.annals.2011.06.002</w:t>
      </w:r>
    </w:p>
    <w:p w14:paraId="4DD30050" w14:textId="77777777" w:rsidR="0073676E" w:rsidRPr="0073676E" w:rsidRDefault="0073676E" w:rsidP="0073676E">
      <w:pPr>
        <w:numPr>
          <w:ilvl w:val="0"/>
          <w:numId w:val="2"/>
        </w:numPr>
        <w:spacing w:line="480" w:lineRule="auto"/>
        <w:rPr>
          <w:lang w:val="en-GB"/>
        </w:rPr>
      </w:pPr>
      <w:proofErr w:type="spellStart"/>
      <w:r w:rsidRPr="0073676E">
        <w:rPr>
          <w:lang w:val="en-GB"/>
        </w:rPr>
        <w:t>Scheyvens</w:t>
      </w:r>
      <w:proofErr w:type="spellEnd"/>
      <w:r w:rsidRPr="0073676E">
        <w:rPr>
          <w:lang w:val="en-GB"/>
        </w:rPr>
        <w:t xml:space="preserve">, R. (2011). Tourism and poverty reduction. </w:t>
      </w:r>
      <w:r w:rsidRPr="0073676E">
        <w:rPr>
          <w:i/>
          <w:iCs/>
          <w:lang w:val="en-GB"/>
        </w:rPr>
        <w:t>Tourism Geographies, 13</w:t>
      </w:r>
      <w:r w:rsidRPr="0073676E">
        <w:rPr>
          <w:lang w:val="en-GB"/>
        </w:rPr>
        <w:t>(3), 482–497. https://doi.org/10.1080/14616688.2011.570623</w:t>
      </w:r>
    </w:p>
    <w:p w14:paraId="1BC5DD0F" w14:textId="77777777" w:rsidR="0073676E" w:rsidRPr="0073676E" w:rsidRDefault="0073676E" w:rsidP="0073676E">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6857D5BD-4FDB-4BC9-A62A-DFDF9310278B}"/>
    <w:embedBold r:id="rId2" w:fontKey="{36397716-A36A-42D0-8B41-54980E69DA77}"/>
    <w:embedItalic r:id="rId3" w:fontKey="{0886B8F5-659E-4F8B-BD3F-E5F8CC4B2D7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B27DF4A-D674-4015-81CD-F4992BC2BBB3}"/>
  </w:font>
  <w:font w:name="Calibri Light">
    <w:panose1 w:val="020F0302020204030204"/>
    <w:charset w:val="00"/>
    <w:family w:val="swiss"/>
    <w:pitch w:val="variable"/>
    <w:sig w:usb0="E4002EFF" w:usb1="C000247B" w:usb2="00000009" w:usb3="00000000" w:csb0="000001FF" w:csb1="00000000"/>
    <w:embedRegular r:id="rId5" w:fontKey="{C4CF6E13-83D8-41ED-B5CD-E35561D7CDA6}"/>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B240B"/>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617</Words>
  <Characters>3518</Characters>
  <Application>Microsoft Office Word</Application>
  <DocSecurity>0</DocSecurity>
  <Lines>29</Lines>
  <Paragraphs>8</Paragraphs>
  <ScaleCrop>false</ScaleCrop>
  <Company/>
  <LinksUpToDate>false</LinksUpToDate>
  <CharactersWithSpaces>4127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2026-01-27T05:02:00Z</dcterms:created>
  <dcterms:modified xsi:type="dcterms:W3CDTF">2026-01-27T05:02:00Z</dcterms:modified>
</cp:coreProperties>
</file>