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18FCA" w14:textId="77777777" w:rsidR="005211B3" w:rsidRDefault="00000000">
      <w:pPr>
        <w:spacing w:line="480" w:lineRule="auto"/>
        <w:jc w:val="center"/>
      </w:pPr>
      <w:r>
        <w:rPr>
          <w:b/>
          <w:color w:val="1F4E79"/>
          <w:sz w:val="36"/>
        </w:rPr>
        <w:br/>
      </w:r>
      <w:r>
        <w:rPr>
          <w:b/>
          <w:color w:val="1F4E79"/>
          <w:sz w:val="36"/>
        </w:rPr>
        <w:br/>
      </w:r>
      <w:r>
        <w:rPr>
          <w:b/>
          <w:color w:val="1F4E79"/>
          <w:sz w:val="36"/>
        </w:rPr>
        <w:br/>
        <w:t>Sustainable Tourism, Local Development and Social Impact: Carrying Capacity, Resident Wellbeing and Regenerative Destination Control</w:t>
      </w:r>
    </w:p>
    <w:p w14:paraId="20363165" w14:textId="77777777" w:rsidR="005211B3" w:rsidRDefault="00000000">
      <w:pPr>
        <w:spacing w:line="480" w:lineRule="auto"/>
        <w:jc w:val="center"/>
      </w:pPr>
      <w:r>
        <w:rPr>
          <w:sz w:val="26"/>
        </w:rPr>
        <w:br/>
        <w:t>M20 Tourism and Local Development Cooperation</w:t>
      </w:r>
      <w:r>
        <w:rPr>
          <w:sz w:val="26"/>
        </w:rPr>
        <w:br/>
        <w:t>Option 3: Sustainable Tourism, Local Development and Social Impact</w:t>
      </w:r>
      <w:r>
        <w:rPr>
          <w:sz w:val="26"/>
        </w:rPr>
        <w:br/>
        <w:t>Detailed Project Report</w:t>
      </w:r>
      <w:r>
        <w:rPr>
          <w:sz w:val="26"/>
        </w:rPr>
        <w:br/>
        <w:t>Submission Deadline: 24 May 2026</w:t>
      </w:r>
      <w:r>
        <w:rPr>
          <w:sz w:val="26"/>
        </w:rPr>
        <w:br/>
      </w:r>
    </w:p>
    <w:p w14:paraId="5A11B094" w14:textId="77777777" w:rsidR="005211B3" w:rsidRDefault="00000000">
      <w:r>
        <w:br w:type="page"/>
      </w:r>
    </w:p>
    <w:p w14:paraId="73B00324" w14:textId="77777777" w:rsidR="005211B3" w:rsidRDefault="00000000">
      <w:pPr>
        <w:pStyle w:val="Heading1"/>
        <w:spacing w:before="240" w:after="120"/>
      </w:pPr>
      <w:r>
        <w:lastRenderedPageBreak/>
        <w:t>Table of Contents</w:t>
      </w:r>
    </w:p>
    <w:p w14:paraId="42757310" w14:textId="77777777" w:rsidR="005211B3" w:rsidRDefault="00000000">
      <w:pPr>
        <w:spacing w:after="120" w:line="480" w:lineRule="auto"/>
      </w:pPr>
      <w:r>
        <w:t>Abstract</w:t>
      </w:r>
    </w:p>
    <w:p w14:paraId="2ECC17BD" w14:textId="77777777" w:rsidR="005211B3" w:rsidRDefault="00000000">
      <w:pPr>
        <w:spacing w:after="120" w:line="480" w:lineRule="auto"/>
      </w:pPr>
      <w:r>
        <w:t>1. Introduction</w:t>
      </w:r>
    </w:p>
    <w:p w14:paraId="66B768DA" w14:textId="77777777" w:rsidR="005211B3" w:rsidRDefault="00000000">
      <w:pPr>
        <w:spacing w:after="120" w:line="480" w:lineRule="auto"/>
      </w:pPr>
      <w:r>
        <w:t>2. Literature Review</w:t>
      </w:r>
    </w:p>
    <w:p w14:paraId="253E6011" w14:textId="77777777" w:rsidR="005211B3" w:rsidRDefault="00000000">
      <w:pPr>
        <w:spacing w:after="120" w:line="480" w:lineRule="auto"/>
      </w:pPr>
      <w:r>
        <w:t>3. Methodology</w:t>
      </w:r>
    </w:p>
    <w:p w14:paraId="64F84317" w14:textId="77777777" w:rsidR="005211B3" w:rsidRDefault="00000000">
      <w:pPr>
        <w:spacing w:after="120" w:line="480" w:lineRule="auto"/>
      </w:pPr>
      <w:r>
        <w:t>4. Findings</w:t>
      </w:r>
    </w:p>
    <w:p w14:paraId="2332BE2C" w14:textId="77777777" w:rsidR="005211B3" w:rsidRDefault="00000000">
      <w:pPr>
        <w:spacing w:after="120" w:line="480" w:lineRule="auto"/>
      </w:pPr>
      <w:r>
        <w:t>5. Sustainable Destination Control Model</w:t>
      </w:r>
    </w:p>
    <w:p w14:paraId="6CB65847" w14:textId="77777777" w:rsidR="005211B3" w:rsidRDefault="00000000">
      <w:pPr>
        <w:spacing w:after="120" w:line="480" w:lineRule="auto"/>
      </w:pPr>
      <w:r>
        <w:t>6. Discussion</w:t>
      </w:r>
    </w:p>
    <w:p w14:paraId="2A6581C6" w14:textId="77777777" w:rsidR="005211B3" w:rsidRDefault="00000000">
      <w:pPr>
        <w:spacing w:after="120" w:line="480" w:lineRule="auto"/>
      </w:pPr>
      <w:r>
        <w:t>6. Implementation Architecture for Sustainable Local Development</w:t>
      </w:r>
    </w:p>
    <w:p w14:paraId="133044A7" w14:textId="77777777" w:rsidR="005211B3" w:rsidRDefault="00000000">
      <w:pPr>
        <w:spacing w:after="120" w:line="480" w:lineRule="auto"/>
      </w:pPr>
      <w:r>
        <w:t>6.1 Critical Evaluation of Sustainability Trade Offs</w:t>
      </w:r>
    </w:p>
    <w:p w14:paraId="3DC6653A" w14:textId="77777777" w:rsidR="005211B3" w:rsidRDefault="00000000">
      <w:pPr>
        <w:spacing w:after="120" w:line="480" w:lineRule="auto"/>
      </w:pPr>
      <w:r>
        <w:t>7. Conclusion and Recommendations</w:t>
      </w:r>
    </w:p>
    <w:p w14:paraId="7F264280" w14:textId="77777777" w:rsidR="005211B3" w:rsidRDefault="00000000">
      <w:pPr>
        <w:spacing w:after="120" w:line="480" w:lineRule="auto"/>
      </w:pPr>
      <w:r>
        <w:t>References</w:t>
      </w:r>
    </w:p>
    <w:p w14:paraId="79D21FEF" w14:textId="77777777" w:rsidR="005211B3" w:rsidRDefault="00000000">
      <w:pPr>
        <w:spacing w:after="120" w:line="480" w:lineRule="auto"/>
      </w:pPr>
      <w:r>
        <w:t>Appendices</w:t>
      </w:r>
    </w:p>
    <w:p w14:paraId="0D200259" w14:textId="77777777" w:rsidR="005211B3" w:rsidRDefault="00000000">
      <w:r>
        <w:br w:type="page"/>
      </w:r>
    </w:p>
    <w:p w14:paraId="2006C0D0" w14:textId="77777777" w:rsidR="005211B3" w:rsidRDefault="00000000">
      <w:pPr>
        <w:pStyle w:val="Heading1"/>
        <w:spacing w:before="240" w:after="120"/>
      </w:pPr>
      <w:r>
        <w:lastRenderedPageBreak/>
        <w:t>Abstract</w:t>
      </w:r>
    </w:p>
    <w:p w14:paraId="3E1FB30B" w14:textId="77777777" w:rsidR="005211B3" w:rsidRDefault="00000000">
      <w:pPr>
        <w:spacing w:after="120" w:line="480" w:lineRule="auto"/>
      </w:pPr>
      <w:r>
        <w:t>This report analyses how sustainable tourism can support balanced local development while managing environmental, cultural and social impacts. It argues that sustainability in tourism should be treated as an operating system for destination control rather than a branding claim. The report compares Kyoto, Maui and Helsinki to show 3 different sustainability challenges: resident congestion and cultural disturbance, post disaster tourism dependency and regenerative recovery, and data driven urban destination sustainability. The analysis finds that tourism can reduce poverty and improve quality of life when it increases local income, protects cultural assets, finances public goods and supports social infrastructure. However, unmanaged tourism can also increase housing pressure, crowding, waste, water stress, cultural commodification and resident alienation. The report proposes a technical model based on carrying capacity thresholds, resident wellbeing metrics, local procurement, circular resource management, cultural protocols and adaptive visitor management. The conclusion is that long term local development requires destinations to move from promotional sustainability to audited sustainability, where visitor growth is conditional on ecological limits, cultural consent, housing affordability, community benefit and transparent impact monitoring.</w:t>
      </w:r>
    </w:p>
    <w:p w14:paraId="612491C6" w14:textId="77777777" w:rsidR="005211B3" w:rsidRDefault="00000000">
      <w:pPr>
        <w:jc w:val="center"/>
      </w:pPr>
      <w:r>
        <w:rPr>
          <w:noProof/>
        </w:rPr>
        <w:lastRenderedPageBreak/>
        <w:drawing>
          <wp:inline distT="0" distB="0" distL="0" distR="0" wp14:anchorId="4A2B4AD5" wp14:editId="79E2A185">
            <wp:extent cx="6035040" cy="377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3_loop.png"/>
                    <pic:cNvPicPr/>
                  </pic:nvPicPr>
                  <pic:blipFill>
                    <a:blip r:embed="rId8"/>
                    <a:stretch>
                      <a:fillRect/>
                    </a:stretch>
                  </pic:blipFill>
                  <pic:spPr>
                    <a:xfrm>
                      <a:off x="0" y="0"/>
                      <a:ext cx="6035040" cy="3771900"/>
                    </a:xfrm>
                    <a:prstGeom prst="rect">
                      <a:avLst/>
                    </a:prstGeom>
                  </pic:spPr>
                </pic:pic>
              </a:graphicData>
            </a:graphic>
          </wp:inline>
        </w:drawing>
      </w:r>
    </w:p>
    <w:p w14:paraId="52F93E88" w14:textId="77777777" w:rsidR="005211B3" w:rsidRDefault="00000000">
      <w:pPr>
        <w:jc w:val="center"/>
      </w:pPr>
      <w:r>
        <w:rPr>
          <w:i/>
          <w:sz w:val="20"/>
        </w:rPr>
        <w:t>Figure 1. Sustainable destination control loop</w:t>
      </w:r>
    </w:p>
    <w:p w14:paraId="3EE0CCEF" w14:textId="77777777" w:rsidR="005211B3" w:rsidRDefault="00000000">
      <w:pPr>
        <w:pStyle w:val="Heading1"/>
        <w:spacing w:before="240" w:after="120"/>
      </w:pPr>
      <w:r>
        <w:t>1. Introduction</w:t>
      </w:r>
    </w:p>
    <w:p w14:paraId="5122CB62" w14:textId="77777777" w:rsidR="005211B3" w:rsidRDefault="00000000">
      <w:pPr>
        <w:spacing w:after="120" w:line="480" w:lineRule="auto"/>
      </w:pPr>
      <w:r>
        <w:t>Sustainable tourism is often described as tourism that balances economic, environmental and social needs. This definition is useful but too general for local development practice. Destinations need operational rules that specify how many visitors can be accommodated, which resources are under stress, who gains income, who bears costs and how management changes when thresholds are exceeded. This report therefore treats sustainable tourism as a destination control system. It examines how tourism can support poverty reduction and quality of life while protecting local resources, cultural identity and resident wellbeing.</w:t>
      </w:r>
    </w:p>
    <w:p w14:paraId="3EE15148" w14:textId="77777777" w:rsidR="005211B3" w:rsidRDefault="00000000">
      <w:pPr>
        <w:spacing w:after="120" w:line="480" w:lineRule="auto"/>
      </w:pPr>
      <w:r>
        <w:t xml:space="preserve">The issue is urgent because global tourism has recovered and in many locations expanded beyond pre pandemic levels. WTTC identifies travel and tourism as a major contributor to global economic output and employment in 2025, while UN Tourism reports strong international </w:t>
      </w:r>
      <w:r>
        <w:lastRenderedPageBreak/>
        <w:t>arrivals performance (UN Tourism, 2025; WTTC, 2026). Growth creates opportunities for local development, but it also increases pressure on housing, public transport, waste systems, heritage sites, water resources and resident tolerance. Destinations such as Kyoto show that cultural prestige and visitor demand can generate both economic benefits and overtourism conflicts. Maui shows that tourism dependency can become socially fragile after disaster and housing displacement. Helsinki shows that sustainability can be institutionalised through standards, data and city strategy.</w:t>
      </w:r>
    </w:p>
    <w:p w14:paraId="64F81976" w14:textId="77777777" w:rsidR="005211B3" w:rsidRDefault="00000000">
      <w:pPr>
        <w:spacing w:after="120" w:line="480" w:lineRule="auto"/>
      </w:pPr>
      <w:r>
        <w:t>This report uses these 3 examples because they represent distinct forms of sustainable tourism challenge. Kyoto is a heritage city facing congestion, visitor behaviour problems and resident quality of life concerns. Maui is a tourism dependent island economy recovering from wildfire, housing shortage and debates over short term rentals. Helsinki is an urban destination using destination sustainability systems, certification and strategic measurement. Together, they show that sustainable tourism is not one policy. It is a set of context specific controls that must be aligned with local development priorities.</w:t>
      </w:r>
    </w:p>
    <w:p w14:paraId="1CF5A9B2" w14:textId="77777777" w:rsidR="005211B3" w:rsidRDefault="00000000">
      <w:pPr>
        <w:spacing w:after="120" w:line="480" w:lineRule="auto"/>
      </w:pPr>
      <w:r>
        <w:t>The central argument is critical. Tourism can reduce poverty and improve local quality of life when it is locally embedded, culturally respectful, ecologically bounded and socially governed. It damages local development when it treats residents as scenery, housing as visitor inventory, culture as a commodity and nature as a free input. The report therefore recommends a sustainable destination control loop that integrates carrying capacity, resident wellbeing, cultural protection, carbon and resource management, local value capture and adaptive regulation.</w:t>
      </w:r>
    </w:p>
    <w:p w14:paraId="177BE5BD" w14:textId="77777777" w:rsidR="005211B3" w:rsidRDefault="00000000">
      <w:pPr>
        <w:pStyle w:val="Heading1"/>
        <w:spacing w:before="240" w:after="120"/>
      </w:pPr>
      <w:r>
        <w:t>2. Literature Review</w:t>
      </w:r>
    </w:p>
    <w:p w14:paraId="07292F7F" w14:textId="77777777" w:rsidR="005211B3" w:rsidRDefault="00000000">
      <w:pPr>
        <w:spacing w:after="120" w:line="480" w:lineRule="auto"/>
      </w:pPr>
      <w:r>
        <w:t xml:space="preserve">Recent tourism policy places sustainability at the centre of destination competitiveness. OECD (2024) argues that tourism recovery must be resilient, sustainable and inclusive rather than based </w:t>
      </w:r>
      <w:r>
        <w:lastRenderedPageBreak/>
        <w:t>only on volume. This has direct local development implications. A destination that depends on excessive visitor numbers may generate short term revenue but degrade the assets that support long term wellbeing. Sustainable tourism therefore requires a shift from throughput maximisation to value optimisation. The destination should seek higher local value per unit of pressure, not simply more tourists.</w:t>
      </w:r>
    </w:p>
    <w:p w14:paraId="520FD894" w14:textId="77777777" w:rsidR="005211B3" w:rsidRDefault="00000000">
      <w:pPr>
        <w:spacing w:after="120" w:line="480" w:lineRule="auto"/>
      </w:pPr>
      <w:r>
        <w:t>The tourism and SDG literature links sustainable tourism with poverty reduction, quality of life, ecological security and cultural diversity. Khizar et al. (2023) identify tourism's relevance to the Sustainable Development Goals, but the mechanism is not automatic. Tourism can help poverty reduction when local residents own businesses, gain skills, access markets and receive public benefits from tourism revenue. It can worsen inequality when profits leave the destination, work is seasonal and public costs are transferred to residents. Sustainable tourism must therefore measure distribution, not just total visitor spending.</w:t>
      </w:r>
    </w:p>
    <w:p w14:paraId="44F47D82" w14:textId="77777777" w:rsidR="005211B3" w:rsidRDefault="00000000">
      <w:pPr>
        <w:spacing w:after="120" w:line="480" w:lineRule="auto"/>
      </w:pPr>
      <w:r>
        <w:t>Regenerative tourism literature pushes the argument further. Duarte et al. (2024) argue that regenerative tourism should create net positive benefits for people and the planet. Iddawala (2025) identifies community centrism, ecological worldview and living systems thinking as conceptual pillars of regenerative tourism. These ideas are useful but must be operationalised carefully. If regenerative tourism is used as a marketing label without measurable restoration, it becomes a stronger version of greenwashing. A technical regenerative approach requires indicators such as habitat restoration, carbon reduction, local stewardship jobs, cultural restoration funding, resident wellbeing and ecosystem service protection.</w:t>
      </w:r>
    </w:p>
    <w:p w14:paraId="727FB299" w14:textId="77777777" w:rsidR="005211B3" w:rsidRDefault="00000000">
      <w:pPr>
        <w:spacing w:after="120" w:line="480" w:lineRule="auto"/>
      </w:pPr>
      <w:r>
        <w:t xml:space="preserve">Destination standards provide a practical measurement base. GSTC destination standards cover sustainable management, socio economic impacts, cultural impacts and environmental impacts (GSTC, 2025). These categories fit the needs of local development because they prevent </w:t>
      </w:r>
      <w:r>
        <w:lastRenderedPageBreak/>
        <w:t>destinations from separating economic benefit from social and environmental cost. For example, a destination may have high revenue but weak sustainability if tourism worsens housing affordability, increases waste or erodes cultural practices. Standards do not solve the problem alone, but they provide audit categories that can discipline local policy.</w:t>
      </w:r>
    </w:p>
    <w:p w14:paraId="27F397A3" w14:textId="77777777" w:rsidR="005211B3" w:rsidRDefault="00000000">
      <w:pPr>
        <w:spacing w:after="120" w:line="480" w:lineRule="auto"/>
      </w:pPr>
      <w:r>
        <w:t>The overtourism literature shows why resident wellbeing must be included. Kyoto's recent management challenges demonstrate that cultural destinations can suffer when visitor density, photography behaviour, bus crowding and short term accommodation pressure disturb everyday life. Sustainable tourism cannot be assessed only through visitor satisfaction. Resident satisfaction and social licence are equally important. A destination loses sustainability when residents feel that public space, cultural privacy and housing access are being reorganised primarily for visitors.</w:t>
      </w:r>
    </w:p>
    <w:p w14:paraId="470D0C06" w14:textId="77777777" w:rsidR="005211B3" w:rsidRDefault="00000000">
      <w:pPr>
        <w:spacing w:after="120" w:line="480" w:lineRule="auto"/>
      </w:pPr>
      <w:r>
        <w:t>Island and disaster recovery contexts add another dimension. Maui's post wildfire situation shows the contradiction between tourism as an economic lifeline and tourism as a source of housing and dependency pressure. When an island economy relies heavily on visitors, disasters can create pressure to reopen quickly even while residents are displaced. Sustainable tourism in such contexts must align recovery, housing, employment, cultural healing and visitor behaviour. This is why social impact assessment should be part of tourism planning before, during and after crisis events.</w:t>
      </w:r>
    </w:p>
    <w:p w14:paraId="5A932AC7" w14:textId="77777777" w:rsidR="005211B3" w:rsidRDefault="00000000">
      <w:pPr>
        <w:pStyle w:val="Heading1"/>
        <w:spacing w:before="240" w:after="120"/>
      </w:pPr>
      <w:r>
        <w:t>3. Methodology</w:t>
      </w:r>
    </w:p>
    <w:p w14:paraId="5ADD0402" w14:textId="77777777" w:rsidR="005211B3" w:rsidRDefault="00000000">
      <w:pPr>
        <w:spacing w:after="120" w:line="480" w:lineRule="auto"/>
      </w:pPr>
      <w:r>
        <w:t xml:space="preserve">The report uses qualitative comparative analysis based on recent secondary evidence and technical framework development. Kyoto, Maui and Helsinki are selected as contrasting cases. Kyoto represents the management of mature cultural overtourism. Maui represents regenerative recovery and tourism dependency after a climate related disaster. Helsinki represents data driven </w:t>
      </w:r>
      <w:r>
        <w:lastRenderedPageBreak/>
        <w:t>urban sustainability and certification based destination governance. The goal is not to claim that the destinations are equivalent, but to extract transferable sustainability controls.</w:t>
      </w:r>
    </w:p>
    <w:p w14:paraId="6BEFBA42" w14:textId="77777777" w:rsidR="005211B3" w:rsidRDefault="00000000">
      <w:pPr>
        <w:spacing w:after="120" w:line="480" w:lineRule="auto"/>
      </w:pPr>
      <w:r>
        <w:t>The analysis is organised around 5 impact domains: poverty and livelihood, resident quality of life, environmental resource pressure, cultural identity and governance capacity. Each domain is assessed in terms of positive contribution, negative externality and recommended control. This structure is appropriate because sustainable tourism is multidimensional. A destination cannot be considered sustainable if it performs well in income generation but poorly in housing, waste or cultural consent.</w:t>
      </w:r>
    </w:p>
    <w:p w14:paraId="66C967A4" w14:textId="77777777" w:rsidR="005211B3" w:rsidRDefault="00000000">
      <w:pPr>
        <w:spacing w:after="120" w:line="480" w:lineRule="auto"/>
      </w:pPr>
      <w:r>
        <w:t>The report relies on recent international policy reports, destination information, news evidence and peer reviewed literature from 2021 to 2026. It does not use primary resident surveys, which is a limitation. The recommendations are therefore formulated as a management framework that destination authorities could test through local data collection, including resident surveys, carrying capacity studies and tourism satellite account extensions.</w:t>
      </w:r>
    </w:p>
    <w:p w14:paraId="5799ED8C" w14:textId="77777777" w:rsidR="005211B3" w:rsidRDefault="00000000">
      <w:pPr>
        <w:pStyle w:val="Heading1"/>
        <w:spacing w:before="240" w:after="120"/>
      </w:pPr>
      <w:r>
        <w:t>4. Findings</w:t>
      </w:r>
    </w:p>
    <w:p w14:paraId="473AEE13" w14:textId="77777777" w:rsidR="005211B3" w:rsidRDefault="00000000">
      <w:pPr>
        <w:spacing w:after="120" w:line="480" w:lineRule="auto"/>
      </w:pPr>
      <w:r>
        <w:t>The first finding is that sustainable tourism supports poverty reduction when it creates locally controlled livelihoods. Rural tourism, community based tourism, cultural guiding, culinary tourism, conservation work and local product sales can diversify household income. Wang et al. (2023) find that rural tourism can have a positive effect on poverty alleviation in underdeveloped areas, although the relationship is not simple or linear. This means tourism should be used as an income diversification instrument rather than a universal poverty solution. The strongest poverty reduction effect occurs when local people own enterprises, have market access and receive training. The weakest effect occurs when residents only provide low wage service labour while external firms capture profit.</w:t>
      </w:r>
    </w:p>
    <w:p w14:paraId="3ACC1D0E" w14:textId="77777777" w:rsidR="005211B3" w:rsidRDefault="00000000">
      <w:pPr>
        <w:spacing w:after="120" w:line="480" w:lineRule="auto"/>
      </w:pPr>
      <w:r>
        <w:lastRenderedPageBreak/>
        <w:t>The second finding is that quality of life is the critical social impact variable. Tourism can improve quality of life through public realm upgrades, better transport, cultural pride, safer streets, training, new amenities and municipal revenue. It can reduce quality of life through noise, congestion, rising rents, public transport crowding, seasonal pressure and loss of local shops. Kyoto illustrates the latter problem. Recent measures to manage visitor behaviour in parts of Gion show that cultural disturbance can become serious enough to require spatial restrictions and enforcement. This is not anti tourism; it is a signal that uncontrolled tourism can exceed social carrying capacity.</w:t>
      </w:r>
    </w:p>
    <w:p w14:paraId="438366DF" w14:textId="77777777" w:rsidR="005211B3" w:rsidRDefault="00000000">
      <w:pPr>
        <w:spacing w:after="120" w:line="480" w:lineRule="auto"/>
      </w:pPr>
      <w:r>
        <w:t>The third finding is that environmental impact must be managed through carrying capacity rather than general environmental awareness. Carrying capacity is not a fixed number. It varies by site sensitivity, season, infrastructure, behaviour, resident tolerance and management capability. A heritage alley, mountain trail, beach, water scarce island and urban museum district all have different thresholds. Sustainable tourism requires site level indicators such as waste volume, water use, crowd density, biodiversity disturbance, transport emissions, trail erosion and emergency access. Visitor caps, timed entry, differential pricing and route dispersal should be triggered by these indicators rather than political pressure after damage occurs.</w:t>
      </w:r>
    </w:p>
    <w:p w14:paraId="230E491D" w14:textId="77777777" w:rsidR="005211B3" w:rsidRDefault="00000000">
      <w:pPr>
        <w:spacing w:after="120" w:line="480" w:lineRule="auto"/>
      </w:pPr>
      <w:r>
        <w:t xml:space="preserve">The fourth finding is that cultural impact requires consent and protocol. Tourism can finance cultural preservation by supporting museums, performances, crafts, language interpretation and heritage maintenance. It can also commodify culture, encourage disrespectful photography and turn residential neighbourhoods into visitor stages. Kyoto's experience shows that cultural destinations need behaviour management. Cultural protocols can define photography rules, access restrictions, dress expectations, group size, guide obligations and penalties for </w:t>
      </w:r>
      <w:r>
        <w:lastRenderedPageBreak/>
        <w:t>harassment. These controls protect both residents and the visitor experience because cultural authenticity declines when local people feel exploited.</w:t>
      </w:r>
    </w:p>
    <w:p w14:paraId="761797AD" w14:textId="77777777" w:rsidR="005211B3" w:rsidRDefault="00000000">
      <w:pPr>
        <w:spacing w:after="120" w:line="480" w:lineRule="auto"/>
      </w:pPr>
      <w:r>
        <w:t>The fifth finding is that Maui demonstrates the tension between economic recovery and social recovery. Tourism can bring urgently needed income after disaster, but rapid reopening may conflict with housing, trauma and local capacity. AP reporting on Maui's short term rental debate shows the difficult trade off between returning housing to residents and protecting tourism spending and jobs (AP, 2025). A sustainable tourism strategy in disaster affected destinations should include emergency housing safeguards, local hiring for recovery work, visitor education, support for local businesses and limits on tourism marketing in communities still rebuilding. The aim is not to stop tourism, but to make tourism serve recovery rather than compete with it.</w:t>
      </w:r>
    </w:p>
    <w:p w14:paraId="0222C641" w14:textId="77777777" w:rsidR="005211B3" w:rsidRDefault="00000000">
      <w:pPr>
        <w:spacing w:after="120" w:line="480" w:lineRule="auto"/>
      </w:pPr>
      <w:r>
        <w:t>The sixth finding is that Helsinki shows the value of audited and strategic sustainability. The City of Helsinki reports major destination sustainability achievements, including GDS Index leadership and Green Destinations certification (City of Helsinki, 2026). The technical lesson is that sustainability improves when it is embedded in city strategy, data, certification, public transport, energy transition, resident experience and event governance. Urban destinations have the advantage of stronger data systems, but they also have complex stakeholder networks. Certification is useful when it drives continuous improvement rather than functioning as a logo.</w:t>
      </w:r>
    </w:p>
    <w:p w14:paraId="0B1C6F94" w14:textId="77777777" w:rsidR="005211B3" w:rsidRDefault="00000000">
      <w:pPr>
        <w:spacing w:after="120" w:line="480" w:lineRule="auto"/>
      </w:pPr>
      <w:r>
        <w:t xml:space="preserve">The seventh finding is that sustainable tourism requires a circular resource model. Visitor economies consume energy, water, food, packaging, linen, construction materials and transport capacity. They generate wastewater, solid waste, emissions and pressure on local ecosystems. Circular tourism seeks to reduce, reuse, repair, refill, recycle and locally source inputs. This is not only environmental. It creates local economic opportunities in waste management, repair </w:t>
      </w:r>
      <w:r>
        <w:lastRenderedPageBreak/>
        <w:t>services, refill systems, local agriculture, circular packaging and low carbon mobility. A circular model therefore links environmental protection with local enterprise development.</w:t>
      </w:r>
    </w:p>
    <w:p w14:paraId="5CF12A94" w14:textId="77777777" w:rsidR="005211B3" w:rsidRDefault="00000000">
      <w:pPr>
        <w:spacing w:after="120" w:line="480" w:lineRule="auto"/>
      </w:pPr>
      <w:r>
        <w:t>The eighth finding is that visitor management should move from persuasion to system design. Many destinations rely on campaigns asking tourists to behave responsibly. These are useful but insufficient. Behaviour changes when systems make responsible action easy and irresponsible action costly. Examples include timed ticketing, real time crowd information, visitor caps, tourist taxes, restricted access to sensitive areas, mandatory local guides, waste deposit schemes, public transport incentives and penalties for harassment or trespass. Japan's current overtourism measures, including congestion control and regional dispersal, reflect this shift toward management design rather than simple promotion.</w:t>
      </w:r>
    </w:p>
    <w:p w14:paraId="2AFB47E0" w14:textId="77777777" w:rsidR="005211B3" w:rsidRDefault="00000000">
      <w:pPr>
        <w:spacing w:after="120" w:line="480" w:lineRule="auto"/>
      </w:pPr>
      <w:r>
        <w:t>The ninth finding is that local development depends on resident benefit visibility. Residents are more likely to accept tourism if they can see improvements in parks, waste management, cultural facilities, housing, transport, training and local business support. If tourism costs are visible but benefits are invisible, social licence weakens. A sustainable tourism fund should therefore publish revenue sources, funded projects, selection criteria and community outcomes. Transparency converts visitor pressure into understandable public value.</w:t>
      </w:r>
    </w:p>
    <w:p w14:paraId="050117F2" w14:textId="77777777" w:rsidR="005211B3" w:rsidRDefault="00000000">
      <w:pPr>
        <w:spacing w:after="120" w:line="480" w:lineRule="auto"/>
      </w:pPr>
      <w:r>
        <w:rPr>
          <w:b/>
        </w:rPr>
        <w:t>Table 1. Sustainable tourism impact and control matrix</w:t>
      </w:r>
    </w:p>
    <w:tbl>
      <w:tblPr>
        <w:tblStyle w:val="TableGrid"/>
        <w:tblW w:w="0" w:type="auto"/>
        <w:jc w:val="center"/>
        <w:tblLook w:val="04A0" w:firstRow="1" w:lastRow="0" w:firstColumn="1" w:lastColumn="0" w:noHBand="0" w:noVBand="1"/>
      </w:tblPr>
      <w:tblGrid>
        <w:gridCol w:w="2340"/>
        <w:gridCol w:w="2340"/>
        <w:gridCol w:w="2340"/>
        <w:gridCol w:w="2340"/>
      </w:tblGrid>
      <w:tr w:rsidR="005211B3" w14:paraId="724BF3CB" w14:textId="77777777">
        <w:trPr>
          <w:tblHeader/>
          <w:jc w:val="center"/>
        </w:trPr>
        <w:tc>
          <w:tcPr>
            <w:tcW w:w="2340" w:type="dxa"/>
            <w:shd w:val="clear" w:color="auto" w:fill="D9EAF7"/>
            <w:vAlign w:val="center"/>
          </w:tcPr>
          <w:p w14:paraId="160061E7" w14:textId="77777777" w:rsidR="005211B3" w:rsidRDefault="00000000">
            <w:pPr>
              <w:jc w:val="center"/>
            </w:pPr>
            <w:r>
              <w:rPr>
                <w:b/>
              </w:rPr>
              <w:t>Impact domain</w:t>
            </w:r>
          </w:p>
        </w:tc>
        <w:tc>
          <w:tcPr>
            <w:tcW w:w="2340" w:type="dxa"/>
            <w:shd w:val="clear" w:color="auto" w:fill="D9EAF7"/>
            <w:vAlign w:val="center"/>
          </w:tcPr>
          <w:p w14:paraId="27B89D3B" w14:textId="77777777" w:rsidR="005211B3" w:rsidRDefault="00000000">
            <w:pPr>
              <w:jc w:val="center"/>
            </w:pPr>
            <w:r>
              <w:rPr>
                <w:b/>
              </w:rPr>
              <w:t>Positive local development effect</w:t>
            </w:r>
          </w:p>
        </w:tc>
        <w:tc>
          <w:tcPr>
            <w:tcW w:w="2340" w:type="dxa"/>
            <w:shd w:val="clear" w:color="auto" w:fill="D9EAF7"/>
            <w:vAlign w:val="center"/>
          </w:tcPr>
          <w:p w14:paraId="7074B0C1" w14:textId="77777777" w:rsidR="005211B3" w:rsidRDefault="00000000">
            <w:pPr>
              <w:jc w:val="center"/>
            </w:pPr>
            <w:r>
              <w:rPr>
                <w:b/>
              </w:rPr>
              <w:t>Negative risk</w:t>
            </w:r>
          </w:p>
        </w:tc>
        <w:tc>
          <w:tcPr>
            <w:tcW w:w="2340" w:type="dxa"/>
            <w:shd w:val="clear" w:color="auto" w:fill="D9EAF7"/>
            <w:vAlign w:val="center"/>
          </w:tcPr>
          <w:p w14:paraId="47ADD187" w14:textId="77777777" w:rsidR="005211B3" w:rsidRDefault="00000000">
            <w:pPr>
              <w:jc w:val="center"/>
            </w:pPr>
            <w:r>
              <w:rPr>
                <w:b/>
              </w:rPr>
              <w:t>Recommended control</w:t>
            </w:r>
          </w:p>
        </w:tc>
      </w:tr>
      <w:tr w:rsidR="005211B3" w14:paraId="0437293B" w14:textId="77777777">
        <w:trPr>
          <w:jc w:val="center"/>
        </w:trPr>
        <w:tc>
          <w:tcPr>
            <w:tcW w:w="2340" w:type="dxa"/>
          </w:tcPr>
          <w:p w14:paraId="66D4A516" w14:textId="77777777" w:rsidR="005211B3" w:rsidRDefault="00000000">
            <w:pPr>
              <w:spacing w:after="40" w:line="276" w:lineRule="auto"/>
            </w:pPr>
            <w:r>
              <w:rPr>
                <w:sz w:val="20"/>
              </w:rPr>
              <w:t>Livelihoods and poverty</w:t>
            </w:r>
          </w:p>
        </w:tc>
        <w:tc>
          <w:tcPr>
            <w:tcW w:w="2340" w:type="dxa"/>
          </w:tcPr>
          <w:p w14:paraId="06CE1E07" w14:textId="77777777" w:rsidR="005211B3" w:rsidRDefault="00000000">
            <w:pPr>
              <w:spacing w:after="40" w:line="276" w:lineRule="auto"/>
            </w:pPr>
            <w:r>
              <w:rPr>
                <w:sz w:val="20"/>
              </w:rPr>
              <w:t>Local employment, enterprise ownership, supplier income and skills development.</w:t>
            </w:r>
          </w:p>
        </w:tc>
        <w:tc>
          <w:tcPr>
            <w:tcW w:w="2340" w:type="dxa"/>
          </w:tcPr>
          <w:p w14:paraId="2C62AEA3" w14:textId="77777777" w:rsidR="005211B3" w:rsidRDefault="00000000">
            <w:pPr>
              <w:spacing w:after="40" w:line="276" w:lineRule="auto"/>
            </w:pPr>
            <w:r>
              <w:rPr>
                <w:sz w:val="20"/>
              </w:rPr>
              <w:t>Seasonal low wage work and income dependency.</w:t>
            </w:r>
          </w:p>
        </w:tc>
        <w:tc>
          <w:tcPr>
            <w:tcW w:w="2340" w:type="dxa"/>
          </w:tcPr>
          <w:p w14:paraId="60D2709D" w14:textId="77777777" w:rsidR="005211B3" w:rsidRDefault="00000000">
            <w:pPr>
              <w:spacing w:after="40" w:line="276" w:lineRule="auto"/>
            </w:pPr>
            <w:r>
              <w:rPr>
                <w:sz w:val="20"/>
              </w:rPr>
              <w:t>Local procurement targets, training ladders and enterprise incubation.</w:t>
            </w:r>
          </w:p>
        </w:tc>
      </w:tr>
      <w:tr w:rsidR="005211B3" w14:paraId="76CE04F8" w14:textId="77777777">
        <w:trPr>
          <w:jc w:val="center"/>
        </w:trPr>
        <w:tc>
          <w:tcPr>
            <w:tcW w:w="2340" w:type="dxa"/>
          </w:tcPr>
          <w:p w14:paraId="53356904" w14:textId="77777777" w:rsidR="005211B3" w:rsidRDefault="00000000">
            <w:pPr>
              <w:spacing w:after="40" w:line="276" w:lineRule="auto"/>
            </w:pPr>
            <w:r>
              <w:rPr>
                <w:sz w:val="20"/>
              </w:rPr>
              <w:t>Resident quality of life</w:t>
            </w:r>
          </w:p>
        </w:tc>
        <w:tc>
          <w:tcPr>
            <w:tcW w:w="2340" w:type="dxa"/>
          </w:tcPr>
          <w:p w14:paraId="430A9B37" w14:textId="77777777" w:rsidR="005211B3" w:rsidRDefault="00000000">
            <w:pPr>
              <w:spacing w:after="40" w:line="276" w:lineRule="auto"/>
            </w:pPr>
            <w:r>
              <w:rPr>
                <w:sz w:val="20"/>
              </w:rPr>
              <w:t>Improved public realm, amenities, transport and cultural pride.</w:t>
            </w:r>
          </w:p>
        </w:tc>
        <w:tc>
          <w:tcPr>
            <w:tcW w:w="2340" w:type="dxa"/>
          </w:tcPr>
          <w:p w14:paraId="08F161E1" w14:textId="77777777" w:rsidR="005211B3" w:rsidRDefault="00000000">
            <w:pPr>
              <w:spacing w:after="40" w:line="276" w:lineRule="auto"/>
            </w:pPr>
            <w:r>
              <w:rPr>
                <w:sz w:val="20"/>
              </w:rPr>
              <w:t>Crowding, noise, housing pressure and loss of everyday access.</w:t>
            </w:r>
          </w:p>
        </w:tc>
        <w:tc>
          <w:tcPr>
            <w:tcW w:w="2340" w:type="dxa"/>
          </w:tcPr>
          <w:p w14:paraId="2F44A07F" w14:textId="77777777" w:rsidR="005211B3" w:rsidRDefault="00000000">
            <w:pPr>
              <w:spacing w:after="40" w:line="276" w:lineRule="auto"/>
            </w:pPr>
            <w:r>
              <w:rPr>
                <w:sz w:val="20"/>
              </w:rPr>
              <w:t>Resident sentiment dashboard, housing controls and visitor dispersal.</w:t>
            </w:r>
          </w:p>
        </w:tc>
      </w:tr>
      <w:tr w:rsidR="005211B3" w14:paraId="4C067630" w14:textId="77777777">
        <w:trPr>
          <w:jc w:val="center"/>
        </w:trPr>
        <w:tc>
          <w:tcPr>
            <w:tcW w:w="2340" w:type="dxa"/>
          </w:tcPr>
          <w:p w14:paraId="58A1A051" w14:textId="77777777" w:rsidR="005211B3" w:rsidRDefault="00000000">
            <w:pPr>
              <w:spacing w:after="40" w:line="276" w:lineRule="auto"/>
            </w:pPr>
            <w:r>
              <w:rPr>
                <w:sz w:val="20"/>
              </w:rPr>
              <w:lastRenderedPageBreak/>
              <w:t>Environment</w:t>
            </w:r>
          </w:p>
        </w:tc>
        <w:tc>
          <w:tcPr>
            <w:tcW w:w="2340" w:type="dxa"/>
          </w:tcPr>
          <w:p w14:paraId="4B9037F0" w14:textId="77777777" w:rsidR="005211B3" w:rsidRDefault="00000000">
            <w:pPr>
              <w:spacing w:after="40" w:line="276" w:lineRule="auto"/>
            </w:pPr>
            <w:r>
              <w:rPr>
                <w:sz w:val="20"/>
              </w:rPr>
              <w:t>Conservation funding, low carbon mobility and circular services.</w:t>
            </w:r>
          </w:p>
        </w:tc>
        <w:tc>
          <w:tcPr>
            <w:tcW w:w="2340" w:type="dxa"/>
          </w:tcPr>
          <w:p w14:paraId="76BEDD55" w14:textId="77777777" w:rsidR="005211B3" w:rsidRDefault="00000000">
            <w:pPr>
              <w:spacing w:after="40" w:line="276" w:lineRule="auto"/>
            </w:pPr>
            <w:r>
              <w:rPr>
                <w:sz w:val="20"/>
              </w:rPr>
              <w:t>Waste, water stress, emissions, trail erosion and biodiversity disturbance.</w:t>
            </w:r>
          </w:p>
        </w:tc>
        <w:tc>
          <w:tcPr>
            <w:tcW w:w="2340" w:type="dxa"/>
          </w:tcPr>
          <w:p w14:paraId="133DFC58" w14:textId="77777777" w:rsidR="005211B3" w:rsidRDefault="00000000">
            <w:pPr>
              <w:spacing w:after="40" w:line="276" w:lineRule="auto"/>
            </w:pPr>
            <w:r>
              <w:rPr>
                <w:sz w:val="20"/>
              </w:rPr>
              <w:t>Carrying capacity thresholds, visitor caps and circular resource standards.</w:t>
            </w:r>
          </w:p>
        </w:tc>
      </w:tr>
      <w:tr w:rsidR="005211B3" w14:paraId="1E9E1EDE" w14:textId="77777777">
        <w:trPr>
          <w:jc w:val="center"/>
        </w:trPr>
        <w:tc>
          <w:tcPr>
            <w:tcW w:w="2340" w:type="dxa"/>
          </w:tcPr>
          <w:p w14:paraId="2EF0EE73" w14:textId="77777777" w:rsidR="005211B3" w:rsidRDefault="00000000">
            <w:pPr>
              <w:spacing w:after="40" w:line="276" w:lineRule="auto"/>
            </w:pPr>
            <w:r>
              <w:rPr>
                <w:sz w:val="20"/>
              </w:rPr>
              <w:t>Culture</w:t>
            </w:r>
          </w:p>
        </w:tc>
        <w:tc>
          <w:tcPr>
            <w:tcW w:w="2340" w:type="dxa"/>
          </w:tcPr>
          <w:p w14:paraId="6BF8718A" w14:textId="77777777" w:rsidR="005211B3" w:rsidRDefault="00000000">
            <w:pPr>
              <w:spacing w:after="40" w:line="276" w:lineRule="auto"/>
            </w:pPr>
            <w:r>
              <w:rPr>
                <w:sz w:val="20"/>
              </w:rPr>
              <w:t>Heritage funding, craft revival and cultural interpretation.</w:t>
            </w:r>
          </w:p>
        </w:tc>
        <w:tc>
          <w:tcPr>
            <w:tcW w:w="2340" w:type="dxa"/>
          </w:tcPr>
          <w:p w14:paraId="3528AB14" w14:textId="77777777" w:rsidR="005211B3" w:rsidRDefault="00000000">
            <w:pPr>
              <w:spacing w:after="40" w:line="276" w:lineRule="auto"/>
            </w:pPr>
            <w:r>
              <w:rPr>
                <w:sz w:val="20"/>
              </w:rPr>
              <w:t>Commodification, harassment, photography abuse and sacred site disturbance.</w:t>
            </w:r>
          </w:p>
        </w:tc>
        <w:tc>
          <w:tcPr>
            <w:tcW w:w="2340" w:type="dxa"/>
          </w:tcPr>
          <w:p w14:paraId="7437E020" w14:textId="77777777" w:rsidR="005211B3" w:rsidRDefault="00000000">
            <w:pPr>
              <w:spacing w:after="40" w:line="276" w:lineRule="auto"/>
            </w:pPr>
            <w:r>
              <w:rPr>
                <w:sz w:val="20"/>
              </w:rPr>
              <w:t>Cultural protocols, local guide rules and access restrictions.</w:t>
            </w:r>
          </w:p>
        </w:tc>
      </w:tr>
      <w:tr w:rsidR="005211B3" w14:paraId="1C3B9011" w14:textId="77777777">
        <w:trPr>
          <w:jc w:val="center"/>
        </w:trPr>
        <w:tc>
          <w:tcPr>
            <w:tcW w:w="2340" w:type="dxa"/>
          </w:tcPr>
          <w:p w14:paraId="3312EC36" w14:textId="77777777" w:rsidR="005211B3" w:rsidRDefault="00000000">
            <w:pPr>
              <w:spacing w:after="40" w:line="276" w:lineRule="auto"/>
            </w:pPr>
            <w:r>
              <w:rPr>
                <w:sz w:val="20"/>
              </w:rPr>
              <w:t>Governance</w:t>
            </w:r>
          </w:p>
        </w:tc>
        <w:tc>
          <w:tcPr>
            <w:tcW w:w="2340" w:type="dxa"/>
          </w:tcPr>
          <w:p w14:paraId="77FCAAFB" w14:textId="77777777" w:rsidR="005211B3" w:rsidRDefault="00000000">
            <w:pPr>
              <w:spacing w:after="40" w:line="276" w:lineRule="auto"/>
            </w:pPr>
            <w:r>
              <w:rPr>
                <w:sz w:val="20"/>
              </w:rPr>
              <w:t>Public revenue and coordinated destination planning.</w:t>
            </w:r>
          </w:p>
        </w:tc>
        <w:tc>
          <w:tcPr>
            <w:tcW w:w="2340" w:type="dxa"/>
          </w:tcPr>
          <w:p w14:paraId="33385772" w14:textId="77777777" w:rsidR="005211B3" w:rsidRDefault="00000000">
            <w:pPr>
              <w:spacing w:after="40" w:line="276" w:lineRule="auto"/>
            </w:pPr>
            <w:r>
              <w:rPr>
                <w:sz w:val="20"/>
              </w:rPr>
              <w:t>Fragmented responsibility and sustainability greenwashing.</w:t>
            </w:r>
          </w:p>
        </w:tc>
        <w:tc>
          <w:tcPr>
            <w:tcW w:w="2340" w:type="dxa"/>
          </w:tcPr>
          <w:p w14:paraId="137F786C" w14:textId="77777777" w:rsidR="005211B3" w:rsidRDefault="00000000">
            <w:pPr>
              <w:spacing w:after="40" w:line="276" w:lineRule="auto"/>
            </w:pPr>
            <w:r>
              <w:rPr>
                <w:sz w:val="20"/>
              </w:rPr>
              <w:t>Annual audited sustainability dashboard and interdepartmental governance.</w:t>
            </w:r>
          </w:p>
        </w:tc>
      </w:tr>
    </w:tbl>
    <w:p w14:paraId="3412A4EF" w14:textId="77777777" w:rsidR="005211B3" w:rsidRDefault="005211B3"/>
    <w:p w14:paraId="4A4E269C" w14:textId="77777777" w:rsidR="005211B3" w:rsidRDefault="00000000">
      <w:pPr>
        <w:pStyle w:val="Heading1"/>
        <w:spacing w:before="240" w:after="120"/>
      </w:pPr>
      <w:r>
        <w:t>5. Sustainable Destination Control Model</w:t>
      </w:r>
    </w:p>
    <w:p w14:paraId="332C1AF2" w14:textId="77777777" w:rsidR="005211B3" w:rsidRDefault="00000000">
      <w:pPr>
        <w:spacing w:after="120" w:line="480" w:lineRule="auto"/>
      </w:pPr>
      <w:r>
        <w:t>The proposed control model has 6 components. First, destinations should establish baseline conditions for resident wellbeing, housing affordability, environmental capacity, cultural assets, visitor flows and local value capture. Without a baseline, it is impossible to determine whether tourism is improving or degrading local development. Baselines should be spatially specific because impacts are concentrated in particular neighbourhoods, trails, beaches, heritage districts or transport corridors.</w:t>
      </w:r>
    </w:p>
    <w:p w14:paraId="3E127B73" w14:textId="77777777" w:rsidR="005211B3" w:rsidRDefault="00000000">
      <w:pPr>
        <w:spacing w:after="120" w:line="480" w:lineRule="auto"/>
      </w:pPr>
      <w:r>
        <w:t>Second, destinations should set thresholds. A threshold may relate to maximum daily visitors on a trail, acceptable crowd density in a heritage street, waste collection capacity, water availability, resident satisfaction score, housing affordability ratio or minimum local procurement share. Thresholds should be public and reviewed annually. They make sustainability operational because they define when management intervention is required.</w:t>
      </w:r>
    </w:p>
    <w:p w14:paraId="6616B3D5" w14:textId="77777777" w:rsidR="005211B3" w:rsidRDefault="00000000">
      <w:pPr>
        <w:spacing w:after="120" w:line="480" w:lineRule="auto"/>
      </w:pPr>
      <w:r>
        <w:t xml:space="preserve">Third, destinations should use adaptive instruments. If crowding exceeds the threshold, timed entry or route dispersal should activate. If housing pressure increases, short term rental regulation should tighten. If resident satisfaction declines, marketing volume may need </w:t>
      </w:r>
      <w:r>
        <w:lastRenderedPageBreak/>
        <w:t>adjustment and visitor codes may need enforcement. If local procurement remains low, supplier development should increase. Sustainable tourism is therefore a dynamic management process, not a static plan.</w:t>
      </w:r>
    </w:p>
    <w:p w14:paraId="0FFDD00B" w14:textId="77777777" w:rsidR="005211B3" w:rsidRDefault="00000000">
      <w:pPr>
        <w:spacing w:after="120" w:line="480" w:lineRule="auto"/>
      </w:pPr>
      <w:r>
        <w:t>Fourth, destinations should integrate cultural governance. Cultural custodians and resident representatives should approve interpretation, access rules, photography norms and commercial use of cultural symbols. This is especially important in heritage districts and Indigenous or local cultural settings. Culture should not be treated as free content for tourism products. It is a living asset requiring consent, care and fair compensation.</w:t>
      </w:r>
    </w:p>
    <w:p w14:paraId="1722EB6C" w14:textId="77777777" w:rsidR="005211B3" w:rsidRDefault="00000000">
      <w:pPr>
        <w:spacing w:after="120" w:line="480" w:lineRule="auto"/>
      </w:pPr>
      <w:r>
        <w:t>Fifth, destinations should create a circular and low carbon visitor economy. This includes public transport priority, walking and cycling routes, renewable energy in accommodation, water efficient operations, local food procurement, waste segregation, refill systems and repairable infrastructure. These practices reduce environmental impact while building local green jobs. They also improve resilience because destinations that depend heavily on imported inputs are more vulnerable to supply chain shocks.</w:t>
      </w:r>
    </w:p>
    <w:p w14:paraId="31AE5545" w14:textId="77777777" w:rsidR="005211B3" w:rsidRDefault="00000000">
      <w:pPr>
        <w:spacing w:after="120" w:line="480" w:lineRule="auto"/>
      </w:pPr>
      <w:r>
        <w:t>Sixth, destinations should institutionalise public reporting. An annual sustainable tourism dashboard should show visitor numbers, local value capture, emissions, water use, waste, resident satisfaction, housing indicators, cultural complaints, employment quality and reinvestment of tourism revenue. Public reporting is essential because sustainability claims are easy to make and difficult to verify. A transparent dashboard makes destination governance accountable to residents, not only to investors and visitors.</w:t>
      </w:r>
    </w:p>
    <w:p w14:paraId="0809F30A" w14:textId="77777777" w:rsidR="005211B3" w:rsidRDefault="00000000">
      <w:pPr>
        <w:spacing w:after="120" w:line="480" w:lineRule="auto"/>
      </w:pPr>
      <w:r>
        <w:rPr>
          <w:b/>
        </w:rPr>
        <w:t>Table 2. Core indicators for sustainable local development through tourism</w:t>
      </w:r>
    </w:p>
    <w:tbl>
      <w:tblPr>
        <w:tblStyle w:val="TableGrid"/>
        <w:tblW w:w="0" w:type="auto"/>
        <w:jc w:val="center"/>
        <w:tblLook w:val="04A0" w:firstRow="1" w:lastRow="0" w:firstColumn="1" w:lastColumn="0" w:noHBand="0" w:noVBand="1"/>
      </w:tblPr>
      <w:tblGrid>
        <w:gridCol w:w="3120"/>
        <w:gridCol w:w="3120"/>
        <w:gridCol w:w="3120"/>
      </w:tblGrid>
      <w:tr w:rsidR="005211B3" w14:paraId="03E6B49F" w14:textId="77777777">
        <w:trPr>
          <w:tblHeader/>
          <w:jc w:val="center"/>
        </w:trPr>
        <w:tc>
          <w:tcPr>
            <w:tcW w:w="3120" w:type="dxa"/>
            <w:shd w:val="clear" w:color="auto" w:fill="D9EAF7"/>
            <w:vAlign w:val="center"/>
          </w:tcPr>
          <w:p w14:paraId="00BD783D" w14:textId="77777777" w:rsidR="005211B3" w:rsidRDefault="00000000">
            <w:pPr>
              <w:jc w:val="center"/>
            </w:pPr>
            <w:r>
              <w:rPr>
                <w:b/>
              </w:rPr>
              <w:t>Indicator</w:t>
            </w:r>
          </w:p>
        </w:tc>
        <w:tc>
          <w:tcPr>
            <w:tcW w:w="3120" w:type="dxa"/>
            <w:shd w:val="clear" w:color="auto" w:fill="D9EAF7"/>
            <w:vAlign w:val="center"/>
          </w:tcPr>
          <w:p w14:paraId="7FBA7913" w14:textId="77777777" w:rsidR="005211B3" w:rsidRDefault="00000000">
            <w:pPr>
              <w:jc w:val="center"/>
            </w:pPr>
            <w:r>
              <w:rPr>
                <w:b/>
              </w:rPr>
              <w:t>Target logic</w:t>
            </w:r>
          </w:p>
        </w:tc>
        <w:tc>
          <w:tcPr>
            <w:tcW w:w="3120" w:type="dxa"/>
            <w:shd w:val="clear" w:color="auto" w:fill="D9EAF7"/>
            <w:vAlign w:val="center"/>
          </w:tcPr>
          <w:p w14:paraId="2FC3C198" w14:textId="77777777" w:rsidR="005211B3" w:rsidRDefault="00000000">
            <w:pPr>
              <w:jc w:val="center"/>
            </w:pPr>
            <w:r>
              <w:rPr>
                <w:b/>
              </w:rPr>
              <w:t>Management response</w:t>
            </w:r>
          </w:p>
        </w:tc>
      </w:tr>
      <w:tr w:rsidR="005211B3" w14:paraId="14638174" w14:textId="77777777">
        <w:trPr>
          <w:jc w:val="center"/>
        </w:trPr>
        <w:tc>
          <w:tcPr>
            <w:tcW w:w="3120" w:type="dxa"/>
          </w:tcPr>
          <w:p w14:paraId="44ABE76B" w14:textId="77777777" w:rsidR="005211B3" w:rsidRDefault="00000000">
            <w:pPr>
              <w:spacing w:after="40" w:line="276" w:lineRule="auto"/>
            </w:pPr>
            <w:r>
              <w:rPr>
                <w:sz w:val="20"/>
              </w:rPr>
              <w:t>Resident wellbeing index</w:t>
            </w:r>
          </w:p>
        </w:tc>
        <w:tc>
          <w:tcPr>
            <w:tcW w:w="3120" w:type="dxa"/>
          </w:tcPr>
          <w:p w14:paraId="11D9BB6E" w14:textId="77777777" w:rsidR="005211B3" w:rsidRDefault="00000000">
            <w:pPr>
              <w:spacing w:after="40" w:line="276" w:lineRule="auto"/>
            </w:pPr>
            <w:r>
              <w:rPr>
                <w:sz w:val="20"/>
              </w:rPr>
              <w:t xml:space="preserve">Should remain stable or improve </w:t>
            </w:r>
            <w:r>
              <w:rPr>
                <w:sz w:val="20"/>
              </w:rPr>
              <w:lastRenderedPageBreak/>
              <w:t>during tourism growth.</w:t>
            </w:r>
          </w:p>
        </w:tc>
        <w:tc>
          <w:tcPr>
            <w:tcW w:w="3120" w:type="dxa"/>
          </w:tcPr>
          <w:p w14:paraId="68F83058" w14:textId="77777777" w:rsidR="005211B3" w:rsidRDefault="00000000">
            <w:pPr>
              <w:spacing w:after="40" w:line="276" w:lineRule="auto"/>
            </w:pPr>
            <w:r>
              <w:rPr>
                <w:sz w:val="20"/>
              </w:rPr>
              <w:lastRenderedPageBreak/>
              <w:t xml:space="preserve">If declining, reduce pressure points, </w:t>
            </w:r>
            <w:r>
              <w:rPr>
                <w:sz w:val="20"/>
              </w:rPr>
              <w:lastRenderedPageBreak/>
              <w:t>redirect marketing and invest visitor levy funds in resident services.</w:t>
            </w:r>
          </w:p>
        </w:tc>
      </w:tr>
      <w:tr w:rsidR="005211B3" w14:paraId="7902D954" w14:textId="77777777">
        <w:trPr>
          <w:jc w:val="center"/>
        </w:trPr>
        <w:tc>
          <w:tcPr>
            <w:tcW w:w="3120" w:type="dxa"/>
          </w:tcPr>
          <w:p w14:paraId="4869FEAE" w14:textId="77777777" w:rsidR="005211B3" w:rsidRDefault="00000000">
            <w:pPr>
              <w:spacing w:after="40" w:line="276" w:lineRule="auto"/>
            </w:pPr>
            <w:r>
              <w:rPr>
                <w:sz w:val="20"/>
              </w:rPr>
              <w:lastRenderedPageBreak/>
              <w:t>Housing pressure ratio</w:t>
            </w:r>
          </w:p>
        </w:tc>
        <w:tc>
          <w:tcPr>
            <w:tcW w:w="3120" w:type="dxa"/>
          </w:tcPr>
          <w:p w14:paraId="255C3440" w14:textId="77777777" w:rsidR="005211B3" w:rsidRDefault="00000000">
            <w:pPr>
              <w:spacing w:after="40" w:line="276" w:lineRule="auto"/>
            </w:pPr>
            <w:r>
              <w:rPr>
                <w:sz w:val="20"/>
              </w:rPr>
              <w:t>Short term rentals and tourism demand should not displace residents.</w:t>
            </w:r>
          </w:p>
        </w:tc>
        <w:tc>
          <w:tcPr>
            <w:tcW w:w="3120" w:type="dxa"/>
          </w:tcPr>
          <w:p w14:paraId="5D4D4953" w14:textId="77777777" w:rsidR="005211B3" w:rsidRDefault="00000000">
            <w:pPr>
              <w:spacing w:after="40" w:line="276" w:lineRule="auto"/>
            </w:pPr>
            <w:r>
              <w:rPr>
                <w:sz w:val="20"/>
              </w:rPr>
              <w:t>Tighten short term rental rules and use tourism revenue for housing support.</w:t>
            </w:r>
          </w:p>
        </w:tc>
      </w:tr>
      <w:tr w:rsidR="005211B3" w14:paraId="4E5E76DB" w14:textId="77777777">
        <w:trPr>
          <w:jc w:val="center"/>
        </w:trPr>
        <w:tc>
          <w:tcPr>
            <w:tcW w:w="3120" w:type="dxa"/>
          </w:tcPr>
          <w:p w14:paraId="7D586618" w14:textId="77777777" w:rsidR="005211B3" w:rsidRDefault="00000000">
            <w:pPr>
              <w:spacing w:after="40" w:line="276" w:lineRule="auto"/>
            </w:pPr>
            <w:r>
              <w:rPr>
                <w:sz w:val="20"/>
              </w:rPr>
              <w:t>Site carrying capacity utilisation</w:t>
            </w:r>
          </w:p>
        </w:tc>
        <w:tc>
          <w:tcPr>
            <w:tcW w:w="3120" w:type="dxa"/>
          </w:tcPr>
          <w:p w14:paraId="4351AD37" w14:textId="77777777" w:rsidR="005211B3" w:rsidRDefault="00000000">
            <w:pPr>
              <w:spacing w:after="40" w:line="276" w:lineRule="auto"/>
            </w:pPr>
            <w:r>
              <w:rPr>
                <w:sz w:val="20"/>
              </w:rPr>
              <w:t>Daily use should remain below ecological and cultural thresholds.</w:t>
            </w:r>
          </w:p>
        </w:tc>
        <w:tc>
          <w:tcPr>
            <w:tcW w:w="3120" w:type="dxa"/>
          </w:tcPr>
          <w:p w14:paraId="2F6EF29E" w14:textId="77777777" w:rsidR="005211B3" w:rsidRDefault="00000000">
            <w:pPr>
              <w:spacing w:after="40" w:line="276" w:lineRule="auto"/>
            </w:pPr>
            <w:r>
              <w:rPr>
                <w:sz w:val="20"/>
              </w:rPr>
              <w:t>Activate timed entry, caps, differential pricing or route closures.</w:t>
            </w:r>
          </w:p>
        </w:tc>
      </w:tr>
      <w:tr w:rsidR="005211B3" w14:paraId="0A3D652D" w14:textId="77777777">
        <w:trPr>
          <w:jc w:val="center"/>
        </w:trPr>
        <w:tc>
          <w:tcPr>
            <w:tcW w:w="3120" w:type="dxa"/>
          </w:tcPr>
          <w:p w14:paraId="19029923" w14:textId="77777777" w:rsidR="005211B3" w:rsidRDefault="00000000">
            <w:pPr>
              <w:spacing w:after="40" w:line="276" w:lineRule="auto"/>
            </w:pPr>
            <w:r>
              <w:rPr>
                <w:sz w:val="20"/>
              </w:rPr>
              <w:t>Local value capture ratio</w:t>
            </w:r>
          </w:p>
        </w:tc>
        <w:tc>
          <w:tcPr>
            <w:tcW w:w="3120" w:type="dxa"/>
          </w:tcPr>
          <w:p w14:paraId="13B98492" w14:textId="77777777" w:rsidR="005211B3" w:rsidRDefault="00000000">
            <w:pPr>
              <w:spacing w:after="40" w:line="276" w:lineRule="auto"/>
            </w:pPr>
            <w:r>
              <w:rPr>
                <w:sz w:val="20"/>
              </w:rPr>
              <w:t>A rising share of visitor spending should remain local.</w:t>
            </w:r>
          </w:p>
        </w:tc>
        <w:tc>
          <w:tcPr>
            <w:tcW w:w="3120" w:type="dxa"/>
          </w:tcPr>
          <w:p w14:paraId="4F1F9900" w14:textId="77777777" w:rsidR="005211B3" w:rsidRDefault="00000000">
            <w:pPr>
              <w:spacing w:after="40" w:line="276" w:lineRule="auto"/>
            </w:pPr>
            <w:r>
              <w:rPr>
                <w:sz w:val="20"/>
              </w:rPr>
              <w:t>Increase local procurement and enterprise support.</w:t>
            </w:r>
          </w:p>
        </w:tc>
      </w:tr>
      <w:tr w:rsidR="005211B3" w14:paraId="4B67C6A0" w14:textId="77777777">
        <w:trPr>
          <w:jc w:val="center"/>
        </w:trPr>
        <w:tc>
          <w:tcPr>
            <w:tcW w:w="3120" w:type="dxa"/>
          </w:tcPr>
          <w:p w14:paraId="705F3075" w14:textId="77777777" w:rsidR="005211B3" w:rsidRDefault="00000000">
            <w:pPr>
              <w:spacing w:after="40" w:line="276" w:lineRule="auto"/>
            </w:pPr>
            <w:r>
              <w:rPr>
                <w:sz w:val="20"/>
              </w:rPr>
              <w:t>Cultural complaint rate</w:t>
            </w:r>
          </w:p>
        </w:tc>
        <w:tc>
          <w:tcPr>
            <w:tcW w:w="3120" w:type="dxa"/>
          </w:tcPr>
          <w:p w14:paraId="0ED2F2CA" w14:textId="77777777" w:rsidR="005211B3" w:rsidRDefault="00000000">
            <w:pPr>
              <w:spacing w:after="40" w:line="276" w:lineRule="auto"/>
            </w:pPr>
            <w:r>
              <w:rPr>
                <w:sz w:val="20"/>
              </w:rPr>
              <w:t>Complaints should decline as visitor behaviour rules improve.</w:t>
            </w:r>
          </w:p>
        </w:tc>
        <w:tc>
          <w:tcPr>
            <w:tcW w:w="3120" w:type="dxa"/>
          </w:tcPr>
          <w:p w14:paraId="4DB8F3A4" w14:textId="77777777" w:rsidR="005211B3" w:rsidRDefault="00000000">
            <w:pPr>
              <w:spacing w:after="40" w:line="276" w:lineRule="auto"/>
            </w:pPr>
            <w:r>
              <w:rPr>
                <w:sz w:val="20"/>
              </w:rPr>
              <w:t>Strengthen codes, local guides, penalties and interpretation.</w:t>
            </w:r>
          </w:p>
        </w:tc>
      </w:tr>
    </w:tbl>
    <w:p w14:paraId="673BBF1D" w14:textId="77777777" w:rsidR="005211B3" w:rsidRDefault="005211B3"/>
    <w:p w14:paraId="7A1FB750" w14:textId="77777777" w:rsidR="005211B3" w:rsidRDefault="00000000">
      <w:pPr>
        <w:pStyle w:val="Heading1"/>
        <w:spacing w:before="240" w:after="120"/>
      </w:pPr>
      <w:r>
        <w:t>6. Discussion</w:t>
      </w:r>
    </w:p>
    <w:p w14:paraId="2DC87AF7" w14:textId="77777777" w:rsidR="005211B3" w:rsidRDefault="00000000">
      <w:pPr>
        <w:spacing w:after="120" w:line="480" w:lineRule="auto"/>
      </w:pPr>
      <w:r>
        <w:t>The comparison of Kyoto, Maui and Helsinki shows that sustainable tourism is context dependent. Kyoto needs social carrying capacity, cultural behaviour management and transport dispersal. Maui needs tourism recovery to align with housing security, local business support and trauma sensitive visitor management. Helsinki needs continuous improvement in emissions, circularity, event impacts and resident involvement. A generic sustainability checklist is therefore insufficient. Destinations need a control system tailored to local vulnerabilities.</w:t>
      </w:r>
    </w:p>
    <w:p w14:paraId="7F2215CA" w14:textId="77777777" w:rsidR="005211B3" w:rsidRDefault="00000000">
      <w:pPr>
        <w:spacing w:after="120" w:line="480" w:lineRule="auto"/>
      </w:pPr>
      <w:r>
        <w:t>The common principle is that tourism growth should be conditional. Growth is acceptable when it increases local value, protects resources, improves resident wellbeing and finances public goods. Growth is not acceptable when it increases pressure faster than governance capacity. This is a major shift from traditional tourism development, where more arrivals were often interpreted as success. Under sustainable local development, success is measured by net local benefit within ecological and social limits.</w:t>
      </w:r>
    </w:p>
    <w:p w14:paraId="59AAF233" w14:textId="77777777" w:rsidR="005211B3" w:rsidRDefault="00000000">
      <w:pPr>
        <w:spacing w:after="120" w:line="480" w:lineRule="auto"/>
      </w:pPr>
      <w:r>
        <w:t xml:space="preserve">Poverty reduction should also be treated carefully. Tourism can provide income, but it is exposed to seasonality and external shocks. It should not become the only livelihood strategy for low </w:t>
      </w:r>
      <w:r>
        <w:lastRenderedPageBreak/>
        <w:t>income communities. The most resilient model is livelihood diversification, where tourism creates additional markets for agriculture, crafts, guiding, food, events, repair, conservation and digital services. This approach reduces dependency and increases local value capture.</w:t>
      </w:r>
    </w:p>
    <w:p w14:paraId="0E1A6646" w14:textId="77777777" w:rsidR="005211B3" w:rsidRDefault="00000000">
      <w:pPr>
        <w:spacing w:after="120" w:line="480" w:lineRule="auto"/>
      </w:pPr>
      <w:r>
        <w:t>Cultural preservation requires more than funding heritage buildings. It requires protecting the living conditions of cultural communities. If residents are priced out of historic areas or if sacred practices are disrupted by visitors, physical heritage preservation becomes hollow. Cultural sustainability must therefore include housing, resident access, behaviour rules and community authority over interpretation. Kyoto's challenges make this point clearly. A beautiful heritage setting can still become socially unsustainable if the people who sustain its culture lose control over everyday space.</w:t>
      </w:r>
    </w:p>
    <w:p w14:paraId="25D23371" w14:textId="77777777" w:rsidR="005211B3" w:rsidRDefault="00000000">
      <w:pPr>
        <w:spacing w:after="120" w:line="480" w:lineRule="auto"/>
      </w:pPr>
      <w:r>
        <w:t>Environmental sustainability also needs economic integration. Destinations sometimes treat waste, water and emissions as technical costs separate from development. In reality, these systems can create green local enterprise. Local food procurement reduces transport emissions and supports farmers. Refill systems reduce plastic and create service opportunities. Trail maintenance creates stewardship jobs. Renewable energy upgrades reduce operating costs and build local skills. Sustainable tourism can therefore become an industrial policy for local green services.</w:t>
      </w:r>
    </w:p>
    <w:p w14:paraId="0C0C4FBE" w14:textId="77777777" w:rsidR="005211B3" w:rsidRDefault="00000000">
      <w:pPr>
        <w:spacing w:after="120" w:line="480" w:lineRule="auto"/>
      </w:pPr>
      <w:r>
        <w:t xml:space="preserve">The biggest governance problem is fragmentation. Tourism impacts are spread across transport, housing, environment, culture, policing, business licensing and public health. A tourism board alone cannot manage them. Sustainable destination governance requires an interdepartmental and community linked system. The destination management organisation should coordinate data and visitor strategy, but housing authorities, transport agencies, environmental departments, cultural </w:t>
      </w:r>
      <w:r>
        <w:lastRenderedPageBreak/>
        <w:t>custodians and community representatives must have decision power. Without this integration, tourism sustainability becomes a communications function rather than a management function.</w:t>
      </w:r>
    </w:p>
    <w:p w14:paraId="4F5BEFC2" w14:textId="77777777" w:rsidR="005211B3" w:rsidRDefault="00000000">
      <w:pPr>
        <w:spacing w:after="120" w:line="480" w:lineRule="auto"/>
      </w:pPr>
      <w:r>
        <w:t>The final recommendation is to adopt audited sustainability. Destinations should avoid vague claims such as eco friendly, authentic or regenerative unless they can show evidence. Audited sustainability means that claims are linked to indicators, thresholds, independent review and public reporting. This protects destinations from greenwashing and helps residents see whether tourism is genuinely supporting local development. It also helps visitors choose destinations that manage impact responsibly.</w:t>
      </w:r>
    </w:p>
    <w:p w14:paraId="1509C71C" w14:textId="77777777" w:rsidR="005211B3" w:rsidRDefault="00000000">
      <w:pPr>
        <w:pStyle w:val="Heading1"/>
        <w:spacing w:before="240" w:after="120"/>
      </w:pPr>
      <w:r>
        <w:t>6. Implementation Architecture for Sustainable Local Development</w:t>
      </w:r>
    </w:p>
    <w:p w14:paraId="33284AA6" w14:textId="77777777" w:rsidR="005211B3" w:rsidRDefault="00000000">
      <w:pPr>
        <w:spacing w:after="120" w:line="480" w:lineRule="auto"/>
      </w:pPr>
      <w:r>
        <w:t>A sustainable destination control system requires institutional architecture. The first requirement is a destination sustainability observatory. This should not be a promotional unit inside a tourism board. It should be a technical body that combines tourism, transport, housing, environment, culture, public health and community data. The observatory should publish quarterly indicators for visitor pressure, resident wellbeing, local value capture, emissions, waste, water use, housing pressure and cultural complaints. The objective is to make sustainability visible before impacts become politically explosive. A dashboard does not solve problems by itself, but it creates evidence for timely intervention.</w:t>
      </w:r>
    </w:p>
    <w:p w14:paraId="2BC4951A" w14:textId="77777777" w:rsidR="005211B3" w:rsidRDefault="00000000">
      <w:pPr>
        <w:spacing w:after="120" w:line="480" w:lineRule="auto"/>
      </w:pPr>
      <w:r>
        <w:t xml:space="preserve">The second requirement is spatial zoning. Sustainable tourism management must recognise that impacts are uneven. One neighbourhood may experience crowding while another seeks more visitors. One trail may be eroding while another has spare capacity. One heritage site may require strict visitor limits while a nearby cultural centre could absorb demand. Spatial zoning allows destinations to differentiate rules. High sensitivity zones may need caps, mandatory guides or access restrictions. Opportunity zones may need marketing, transport links and </w:t>
      </w:r>
      <w:r>
        <w:lastRenderedPageBreak/>
        <w:t>enterprise support. Buffer zones may need visitor education and infrastructure maintenance. Without spatial zoning, policy becomes either too restrictive or too permissive.</w:t>
      </w:r>
    </w:p>
    <w:p w14:paraId="2F98D545" w14:textId="77777777" w:rsidR="005211B3" w:rsidRDefault="00000000">
      <w:pPr>
        <w:spacing w:after="120" w:line="480" w:lineRule="auto"/>
      </w:pPr>
      <w:r>
        <w:t>The third requirement is housing and land use integration. Tourism cannot be sustainable if it displaces residents from the places that create destination identity. Short term rental regulation, hotel zoning, worker housing requirements and land value monitoring should be part of tourism governance. Maui's debate over vacation rentals shows that housing is not separate from tourism policy. Kyoto's resident pressure shows the same point in a different context. A destination that ignores housing may achieve revenue growth while hollowing out the community that sustains its cultural appeal.</w:t>
      </w:r>
    </w:p>
    <w:p w14:paraId="153A9535" w14:textId="77777777" w:rsidR="005211B3" w:rsidRDefault="00000000">
      <w:pPr>
        <w:spacing w:after="120" w:line="480" w:lineRule="auto"/>
      </w:pPr>
      <w:r>
        <w:t>The fourth requirement is visitor behaviour engineering. Codes of conduct are necessary but insufficient unless they are embedded in the journey. Behaviour rules should appear at booking, transport hubs, accommodation check in, ticketing points, guide briefings and site entrances. Digital signage can redirect visitors from crowded areas. Fines can deter trespass or harassment. Timed entry can reduce peaks. Local guides can interpret cultural norms. The technical principle is that visitor behaviour should be managed through repeated prompts, physical design and enforcement, not only through general awareness campaigns.</w:t>
      </w:r>
    </w:p>
    <w:p w14:paraId="037ABD44" w14:textId="77777777" w:rsidR="005211B3" w:rsidRDefault="00000000">
      <w:pPr>
        <w:spacing w:after="120" w:line="480" w:lineRule="auto"/>
      </w:pPr>
      <w:r>
        <w:t>The fifth requirement is circular procurement. Destination authorities should use public procurement and licensing to push hotels, restaurants, events and attractions toward local food, refill systems, waste separation, repairable materials, renewable electricity and low emission transport. These requirements should be phased to avoid excluding small firms. Technical assistance can help businesses comply. Circular procurement converts sustainability from a voluntary branding issue into a market rule that rewards firms reducing pressure on local resources.</w:t>
      </w:r>
    </w:p>
    <w:p w14:paraId="16BB9739" w14:textId="77777777" w:rsidR="005211B3" w:rsidRDefault="00000000">
      <w:pPr>
        <w:spacing w:after="120" w:line="480" w:lineRule="auto"/>
      </w:pPr>
      <w:r>
        <w:lastRenderedPageBreak/>
        <w:t>The sixth requirement is community impact budgeting. Tourism taxes, accommodation levies and site fees should be partly earmarked for projects residents can see: waste collection, public toilets, path maintenance, cultural facilities, housing support, green spaces, visitor management staff and local enterprise funds. The budget should be participatory. Residents should help rank projects because they know which pressures affect daily life. This improves trust and makes the cost benefit relationship of tourism more visible.</w:t>
      </w:r>
    </w:p>
    <w:p w14:paraId="35A51E0E" w14:textId="77777777" w:rsidR="005211B3" w:rsidRDefault="00000000">
      <w:pPr>
        <w:spacing w:after="120" w:line="480" w:lineRule="auto"/>
      </w:pPr>
      <w:r>
        <w:t>The seventh requirement is threshold governance. Thresholds must have consequences. If daily visitor density exceeds the agreed limit, timed entry should activate automatically. If resident wellbeing falls below baseline, marketing in pressure zones should be reduced. If waste indicators exceed capacity, visitor numbers or event licences should be adjusted until infrastructure catches up. Thresholds without automatic management response become symbolic. Automatic triggers reduce the temptation to postpone difficult decisions because of short term commercial pressure.</w:t>
      </w:r>
    </w:p>
    <w:p w14:paraId="1A7EC958" w14:textId="77777777" w:rsidR="005211B3" w:rsidRDefault="00000000">
      <w:pPr>
        <w:spacing w:after="120" w:line="480" w:lineRule="auto"/>
      </w:pPr>
      <w:r>
        <w:t>The eighth requirement is independent review. Sustainability dashboards, certification claims and regenerative tourism statements should be reviewed periodically by credible external auditors or multi stakeholder panels. This protects against greenwashing. It also helps destinations learn from mistakes. The review should consider whether tourism improves local development after subtracting environmental, social and infrastructure costs. If the net impact is negative in a pressure zone, the destination should be prepared to reduce marketing or limit growth there. Sustainable tourism requires the courage to manage demand, not just promote it.</w:t>
      </w:r>
    </w:p>
    <w:p w14:paraId="0CFEE8AC" w14:textId="77777777" w:rsidR="005211B3" w:rsidRDefault="00000000">
      <w:pPr>
        <w:pStyle w:val="Heading1"/>
        <w:spacing w:before="240" w:after="120"/>
      </w:pPr>
      <w:r>
        <w:t>6.1 Critical Evaluation of Sustainability Trade Offs</w:t>
      </w:r>
    </w:p>
    <w:p w14:paraId="2A30CEB3" w14:textId="77777777" w:rsidR="005211B3" w:rsidRDefault="00000000">
      <w:pPr>
        <w:spacing w:after="120" w:line="480" w:lineRule="auto"/>
      </w:pPr>
      <w:r>
        <w:t xml:space="preserve">Sustainable tourism policy must also confront trade offs openly. Visitor caps may protect heritage sites but reduce income for guides and vendors. Short term rental restrictions may </w:t>
      </w:r>
      <w:r>
        <w:lastRenderedPageBreak/>
        <w:t>support residents but reduce earnings for property owners and some local service providers. Higher tourist taxes may fund public goods but affect price sensitive demand. Low carbon transport investment may require upfront public expenditure before benefits become visible. These conflicts are not evidence that sustainability has failed. They show why sustainability must be governed through transparent criteria and compensating measures. For example, if visitor caps reduce income in one location, the destination can develop alternative routes, retrain guides for lower pressure areas or use levy revenue to support affected enterprises during transition.</w:t>
      </w:r>
    </w:p>
    <w:p w14:paraId="2D76760E" w14:textId="77777777" w:rsidR="005211B3" w:rsidRDefault="00000000">
      <w:pPr>
        <w:spacing w:after="120" w:line="480" w:lineRule="auto"/>
      </w:pPr>
      <w:r>
        <w:t>A second trade off concerns measurement. Quantitative dashboards are necessary, but they can miss cultural discomfort, resident fatigue and emotional attachment to place. A technically strong sustainability system should therefore combine hard indicators with qualitative resident panels. The hard indicators show pressure trends, while resident panels explain why the pressure matters. This combination would help destinations avoid the false precision of managing only what is easy to count. Sustainable local development is ultimately about liveability, identity and ecological continuity as much as revenue. The control system should therefore protect the destination as a lived place before it protects the destination as a marketable product. This makes sustainability a public accountability system rather than a decorative destination slogan.</w:t>
      </w:r>
    </w:p>
    <w:p w14:paraId="349BC670" w14:textId="77777777" w:rsidR="005211B3" w:rsidRDefault="00000000">
      <w:pPr>
        <w:pStyle w:val="Heading1"/>
        <w:spacing w:before="240" w:after="120"/>
      </w:pPr>
      <w:r>
        <w:t>7. Conclusion and Recommendations</w:t>
      </w:r>
    </w:p>
    <w:p w14:paraId="571877E0" w14:textId="77777777" w:rsidR="005211B3" w:rsidRDefault="00000000">
      <w:pPr>
        <w:spacing w:after="120" w:line="480" w:lineRule="auto"/>
      </w:pPr>
      <w:r>
        <w:t xml:space="preserve">Sustainable tourism can promote balanced local development when it improves livelihoods, protects culture, conserves resources and strengthens resident quality of life. It fails when visitor growth overwhelms housing, infrastructure, cultural privacy and ecological capacity. The comparison of Kyoto, Maui and Helsinki shows that sustainability requires operational controls rather than general aspirations. Destinations should establish baselines, set carrying capacity thresholds, manage visitor behaviour, regulate housing pressure, protect cultural protocols, </w:t>
      </w:r>
      <w:r>
        <w:lastRenderedPageBreak/>
        <w:t>strengthen circular resource systems and publish annual dashboards. Tourism should be expanded only where local value capture and resident wellbeing increase within ecological limits. This makes sustainable tourism a disciplined development system, not a promotional label.</w:t>
      </w:r>
    </w:p>
    <w:p w14:paraId="60BBA743" w14:textId="77777777" w:rsidR="005211B3" w:rsidRDefault="00000000">
      <w:r>
        <w:br w:type="page"/>
      </w:r>
    </w:p>
    <w:p w14:paraId="1A0C9BD8" w14:textId="77777777" w:rsidR="005211B3" w:rsidRDefault="00000000">
      <w:pPr>
        <w:pStyle w:val="Heading1"/>
        <w:spacing w:before="240" w:after="120"/>
      </w:pPr>
      <w:r>
        <w:lastRenderedPageBreak/>
        <w:t>References</w:t>
      </w:r>
    </w:p>
    <w:p w14:paraId="70C37386" w14:textId="77777777" w:rsidR="005211B3" w:rsidRDefault="00000000">
      <w:pPr>
        <w:spacing w:after="120" w:line="480" w:lineRule="auto"/>
        <w:ind w:left="720" w:hanging="720"/>
      </w:pPr>
      <w:r>
        <w:t>Associated Press. (2025). Maui panel passes bill to curb vacation rentals and boost housing supply after Lahaina wildfire. https://apnews.com/article/2f73c657e2fb40b65d707889bac56b63</w:t>
      </w:r>
    </w:p>
    <w:p w14:paraId="1533D584" w14:textId="77777777" w:rsidR="005211B3" w:rsidRDefault="00000000">
      <w:pPr>
        <w:spacing w:after="120" w:line="480" w:lineRule="auto"/>
        <w:ind w:left="720" w:hanging="720"/>
      </w:pPr>
      <w:r>
        <w:t>Bhatt, K., et al. (2024). Tourism led inclusive growth in emerging and developing economies. Sage Open. https://doi.org/10.1177/21582440241252516</w:t>
      </w:r>
    </w:p>
    <w:p w14:paraId="0092E9EC" w14:textId="77777777" w:rsidR="005211B3" w:rsidRDefault="00000000">
      <w:pPr>
        <w:spacing w:after="120" w:line="480" w:lineRule="auto"/>
        <w:ind w:left="720" w:hanging="720"/>
      </w:pPr>
      <w:r>
        <w:t>City of Helsinki. (2026). Tourism sustainability in Helsinki. https://www.hel.fi/en/business-and-work/develop-tourism-and-events/tourism-sustainability-in-helsinki</w:t>
      </w:r>
    </w:p>
    <w:p w14:paraId="1F24A25B" w14:textId="77777777" w:rsidR="005211B3" w:rsidRDefault="00000000">
      <w:pPr>
        <w:spacing w:after="120" w:line="480" w:lineRule="auto"/>
        <w:ind w:left="720" w:hanging="720"/>
      </w:pPr>
      <w:r>
        <w:t>Duarte, C. M., et al. (2024). Advancing global climate and biodiversity goals through regenerative tourism. Sustainability, 16(20), 9133. https://doi.org/10.3390/su16209133</w:t>
      </w:r>
    </w:p>
    <w:p w14:paraId="5B75498F" w14:textId="77777777" w:rsidR="005211B3" w:rsidRDefault="00000000">
      <w:pPr>
        <w:spacing w:after="120" w:line="480" w:lineRule="auto"/>
        <w:ind w:left="720" w:hanging="720"/>
      </w:pPr>
      <w:r>
        <w:t>Global Sustainable Tourism Council. (2025). GSTC destination standard. https://www.gstc.org/gstc-criteria/gstc-destination-criteria/</w:t>
      </w:r>
    </w:p>
    <w:p w14:paraId="3D93E9C0" w14:textId="77777777" w:rsidR="005211B3" w:rsidRDefault="00000000">
      <w:pPr>
        <w:spacing w:after="120" w:line="480" w:lineRule="auto"/>
        <w:ind w:left="720" w:hanging="720"/>
      </w:pPr>
      <w:r>
        <w:t>Handler, I. (2026). Overtourism in Kyoto: Resident perceptions, emotional responses and social consequences. Cities. https://www.sciencedirect.com/science/article/abs/pii/S0264275126001502</w:t>
      </w:r>
    </w:p>
    <w:p w14:paraId="6E7B3108" w14:textId="77777777" w:rsidR="005211B3" w:rsidRDefault="00000000">
      <w:pPr>
        <w:spacing w:after="120" w:line="480" w:lineRule="auto"/>
        <w:ind w:left="720" w:hanging="720"/>
      </w:pPr>
      <w:r>
        <w:t>Iddawala, J. (2025). Regenerative tourism: Context and conceptualisations. Tourism Planning and Development. https://doi.org/10.1080/21568316.2025.2527614</w:t>
      </w:r>
    </w:p>
    <w:p w14:paraId="0714E849" w14:textId="77777777" w:rsidR="005211B3" w:rsidRDefault="00000000">
      <w:pPr>
        <w:spacing w:after="120" w:line="480" w:lineRule="auto"/>
        <w:ind w:left="720" w:hanging="720"/>
      </w:pPr>
      <w:r>
        <w:t>Japan Tourism Agency. (2024). White paper on tourism in Japan 2024. https://www.mlit.go.jp/kankocho/content/001767069.pdf</w:t>
      </w:r>
    </w:p>
    <w:p w14:paraId="481FED0B" w14:textId="77777777" w:rsidR="005211B3" w:rsidRDefault="00000000">
      <w:pPr>
        <w:spacing w:after="120" w:line="480" w:lineRule="auto"/>
        <w:ind w:left="720" w:hanging="720"/>
      </w:pPr>
      <w:r>
        <w:t>Krittayaruangroj, K., et al. (2023). Research on sustainability in community based tourism. Tourism Planning and Development. https://doi.org/10.1080/10941665.2023.2276477</w:t>
      </w:r>
    </w:p>
    <w:p w14:paraId="0BD5A580" w14:textId="77777777" w:rsidR="005211B3" w:rsidRDefault="00000000">
      <w:pPr>
        <w:spacing w:after="120" w:line="480" w:lineRule="auto"/>
        <w:ind w:left="720" w:hanging="720"/>
      </w:pPr>
      <w:r>
        <w:lastRenderedPageBreak/>
        <w:t>Mainichi Japan. (2026). Japan approves plan for overtourism measures in 100 areas. https://mainichi.jp/english/articles/20260327/p2g/00m/0na/019000c</w:t>
      </w:r>
    </w:p>
    <w:p w14:paraId="1E3AE58F" w14:textId="77777777" w:rsidR="005211B3" w:rsidRDefault="00000000">
      <w:pPr>
        <w:spacing w:after="120" w:line="480" w:lineRule="auto"/>
        <w:ind w:left="720" w:hanging="720"/>
      </w:pPr>
      <w:r>
        <w:t>OECD. (2024). OECD tourism trends and policies 2024. OECD Publishing. https://www.oecd.org/en/publications/2024/07/oecd-tourism-trends-and-policies-2024_17ff33a3.html</w:t>
      </w:r>
    </w:p>
    <w:p w14:paraId="5485726B" w14:textId="77777777" w:rsidR="005211B3" w:rsidRDefault="00000000">
      <w:pPr>
        <w:spacing w:after="120" w:line="480" w:lineRule="auto"/>
        <w:ind w:left="720" w:hanging="720"/>
      </w:pPr>
      <w:r>
        <w:t>UN Tourism. (2025). World tourism barometer. UN Tourism. https://www.untourism.int/un-tourism-world-tourism-barometer-data</w:t>
      </w:r>
    </w:p>
    <w:p w14:paraId="1E835A0D" w14:textId="77777777" w:rsidR="005211B3" w:rsidRDefault="00000000">
      <w:pPr>
        <w:spacing w:after="120" w:line="480" w:lineRule="auto"/>
        <w:ind w:left="720" w:hanging="720"/>
      </w:pPr>
      <w:r>
        <w:t>Wang, F., et al. (2023). Sustainability of rural tourism in poverty reduction. Humanities and Social Sciences Communications. https://pmc.ncbi.nlm.nih.gov/articles/PMC10010554/</w:t>
      </w:r>
    </w:p>
    <w:p w14:paraId="30225CC5" w14:textId="77777777" w:rsidR="005211B3" w:rsidRDefault="00000000">
      <w:pPr>
        <w:spacing w:after="120" w:line="480" w:lineRule="auto"/>
        <w:ind w:left="720" w:hanging="720"/>
      </w:pPr>
      <w:r>
        <w:t>World Travel and Tourism Council. (2026). Travel and tourism economic impact research. WTTC. https://wttc.org/research/economic-impact</w:t>
      </w:r>
    </w:p>
    <w:p w14:paraId="314DC650" w14:textId="77777777" w:rsidR="005211B3" w:rsidRDefault="00000000">
      <w:r>
        <w:br w:type="page"/>
      </w:r>
    </w:p>
    <w:p w14:paraId="0FBDAF40" w14:textId="77777777" w:rsidR="005211B3" w:rsidRDefault="00000000">
      <w:pPr>
        <w:pStyle w:val="Heading1"/>
        <w:spacing w:before="240" w:after="120"/>
      </w:pPr>
      <w:r>
        <w:lastRenderedPageBreak/>
        <w:t>Appendices</w:t>
      </w:r>
    </w:p>
    <w:p w14:paraId="7AF8E8F6" w14:textId="77777777" w:rsidR="005211B3" w:rsidRDefault="00000000">
      <w:pPr>
        <w:pStyle w:val="Heading2"/>
        <w:spacing w:before="240" w:after="120"/>
      </w:pPr>
      <w:r>
        <w:t>Appendix A. Technical implementation notes</w:t>
      </w:r>
    </w:p>
    <w:p w14:paraId="3A0E26D8" w14:textId="77777777" w:rsidR="005211B3" w:rsidRDefault="00000000">
      <w:pPr>
        <w:spacing w:after="120" w:line="480" w:lineRule="auto"/>
      </w:pPr>
      <w:r>
        <w:rPr>
          <w:b/>
        </w:rPr>
        <w:t>Appendix Table A1. Threshold based response triggers</w:t>
      </w:r>
    </w:p>
    <w:tbl>
      <w:tblPr>
        <w:tblStyle w:val="TableGrid"/>
        <w:tblW w:w="0" w:type="auto"/>
        <w:jc w:val="center"/>
        <w:tblLook w:val="04A0" w:firstRow="1" w:lastRow="0" w:firstColumn="1" w:lastColumn="0" w:noHBand="0" w:noVBand="1"/>
      </w:tblPr>
      <w:tblGrid>
        <w:gridCol w:w="3120"/>
        <w:gridCol w:w="3120"/>
        <w:gridCol w:w="3120"/>
      </w:tblGrid>
      <w:tr w:rsidR="005211B3" w14:paraId="52ED062A" w14:textId="77777777">
        <w:trPr>
          <w:tblHeader/>
          <w:jc w:val="center"/>
        </w:trPr>
        <w:tc>
          <w:tcPr>
            <w:tcW w:w="3120" w:type="dxa"/>
            <w:shd w:val="clear" w:color="auto" w:fill="D9EAF7"/>
            <w:vAlign w:val="center"/>
          </w:tcPr>
          <w:p w14:paraId="4BF50183" w14:textId="77777777" w:rsidR="005211B3" w:rsidRDefault="00000000">
            <w:pPr>
              <w:jc w:val="center"/>
            </w:pPr>
            <w:r>
              <w:rPr>
                <w:b/>
              </w:rPr>
              <w:t>Trigger</w:t>
            </w:r>
          </w:p>
        </w:tc>
        <w:tc>
          <w:tcPr>
            <w:tcW w:w="3120" w:type="dxa"/>
            <w:shd w:val="clear" w:color="auto" w:fill="D9EAF7"/>
            <w:vAlign w:val="center"/>
          </w:tcPr>
          <w:p w14:paraId="1147DEA7" w14:textId="77777777" w:rsidR="005211B3" w:rsidRDefault="00000000">
            <w:pPr>
              <w:jc w:val="center"/>
            </w:pPr>
            <w:r>
              <w:rPr>
                <w:b/>
              </w:rPr>
              <w:t>Condition</w:t>
            </w:r>
          </w:p>
        </w:tc>
        <w:tc>
          <w:tcPr>
            <w:tcW w:w="3120" w:type="dxa"/>
            <w:shd w:val="clear" w:color="auto" w:fill="D9EAF7"/>
            <w:vAlign w:val="center"/>
          </w:tcPr>
          <w:p w14:paraId="0D355AE7" w14:textId="77777777" w:rsidR="005211B3" w:rsidRDefault="00000000">
            <w:pPr>
              <w:jc w:val="center"/>
            </w:pPr>
            <w:r>
              <w:rPr>
                <w:b/>
              </w:rPr>
              <w:t>Response</w:t>
            </w:r>
          </w:p>
        </w:tc>
      </w:tr>
      <w:tr w:rsidR="005211B3" w14:paraId="3C90D7CF" w14:textId="77777777">
        <w:trPr>
          <w:jc w:val="center"/>
        </w:trPr>
        <w:tc>
          <w:tcPr>
            <w:tcW w:w="3120" w:type="dxa"/>
          </w:tcPr>
          <w:p w14:paraId="6A126693" w14:textId="77777777" w:rsidR="005211B3" w:rsidRDefault="00000000">
            <w:pPr>
              <w:spacing w:after="40" w:line="276" w:lineRule="auto"/>
            </w:pPr>
            <w:r>
              <w:rPr>
                <w:sz w:val="20"/>
              </w:rPr>
              <w:t>Crowd density</w:t>
            </w:r>
          </w:p>
        </w:tc>
        <w:tc>
          <w:tcPr>
            <w:tcW w:w="3120" w:type="dxa"/>
          </w:tcPr>
          <w:p w14:paraId="5EF61621" w14:textId="77777777" w:rsidR="005211B3" w:rsidRDefault="00000000">
            <w:pPr>
              <w:spacing w:after="40" w:line="276" w:lineRule="auto"/>
            </w:pPr>
            <w:r>
              <w:rPr>
                <w:sz w:val="20"/>
              </w:rPr>
              <w:t>Visitor density exceeds site threshold for 3 consecutive monitoring periods.</w:t>
            </w:r>
          </w:p>
        </w:tc>
        <w:tc>
          <w:tcPr>
            <w:tcW w:w="3120" w:type="dxa"/>
          </w:tcPr>
          <w:p w14:paraId="21BBCC14" w14:textId="77777777" w:rsidR="005211B3" w:rsidRDefault="00000000">
            <w:pPr>
              <w:spacing w:after="40" w:line="276" w:lineRule="auto"/>
            </w:pPr>
            <w:r>
              <w:rPr>
                <w:sz w:val="20"/>
              </w:rPr>
              <w:t>Timed entry, route dispersal and temporary access restrictions.</w:t>
            </w:r>
          </w:p>
        </w:tc>
      </w:tr>
      <w:tr w:rsidR="005211B3" w14:paraId="7E815576" w14:textId="77777777">
        <w:trPr>
          <w:jc w:val="center"/>
        </w:trPr>
        <w:tc>
          <w:tcPr>
            <w:tcW w:w="3120" w:type="dxa"/>
          </w:tcPr>
          <w:p w14:paraId="1BB3F10D" w14:textId="77777777" w:rsidR="005211B3" w:rsidRDefault="00000000">
            <w:pPr>
              <w:spacing w:after="40" w:line="276" w:lineRule="auto"/>
            </w:pPr>
            <w:r>
              <w:rPr>
                <w:sz w:val="20"/>
              </w:rPr>
              <w:t>Resident wellbeing</w:t>
            </w:r>
          </w:p>
        </w:tc>
        <w:tc>
          <w:tcPr>
            <w:tcW w:w="3120" w:type="dxa"/>
          </w:tcPr>
          <w:p w14:paraId="613332D2" w14:textId="77777777" w:rsidR="005211B3" w:rsidRDefault="00000000">
            <w:pPr>
              <w:spacing w:after="40" w:line="276" w:lineRule="auto"/>
            </w:pPr>
            <w:r>
              <w:rPr>
                <w:sz w:val="20"/>
              </w:rPr>
              <w:t>Resident sentiment falls below agreed baseline.</w:t>
            </w:r>
          </w:p>
        </w:tc>
        <w:tc>
          <w:tcPr>
            <w:tcW w:w="3120" w:type="dxa"/>
          </w:tcPr>
          <w:p w14:paraId="04319DDA" w14:textId="77777777" w:rsidR="005211B3" w:rsidRDefault="00000000">
            <w:pPr>
              <w:spacing w:after="40" w:line="276" w:lineRule="auto"/>
            </w:pPr>
            <w:r>
              <w:rPr>
                <w:sz w:val="20"/>
              </w:rPr>
              <w:t>Marketing reduction in pressure zones and reinvestment in resident services.</w:t>
            </w:r>
          </w:p>
        </w:tc>
      </w:tr>
      <w:tr w:rsidR="005211B3" w14:paraId="07CA2159" w14:textId="77777777">
        <w:trPr>
          <w:jc w:val="center"/>
        </w:trPr>
        <w:tc>
          <w:tcPr>
            <w:tcW w:w="3120" w:type="dxa"/>
          </w:tcPr>
          <w:p w14:paraId="42B88295" w14:textId="77777777" w:rsidR="005211B3" w:rsidRDefault="00000000">
            <w:pPr>
              <w:spacing w:after="40" w:line="276" w:lineRule="auto"/>
            </w:pPr>
            <w:r>
              <w:rPr>
                <w:sz w:val="20"/>
              </w:rPr>
              <w:t>Housing pressure</w:t>
            </w:r>
          </w:p>
        </w:tc>
        <w:tc>
          <w:tcPr>
            <w:tcW w:w="3120" w:type="dxa"/>
          </w:tcPr>
          <w:p w14:paraId="3B766B91" w14:textId="77777777" w:rsidR="005211B3" w:rsidRDefault="00000000">
            <w:pPr>
              <w:spacing w:after="40" w:line="276" w:lineRule="auto"/>
            </w:pPr>
            <w:r>
              <w:rPr>
                <w:sz w:val="20"/>
              </w:rPr>
              <w:t>Short term rental share rises above agreed limit.</w:t>
            </w:r>
          </w:p>
        </w:tc>
        <w:tc>
          <w:tcPr>
            <w:tcW w:w="3120" w:type="dxa"/>
          </w:tcPr>
          <w:p w14:paraId="4909608F" w14:textId="77777777" w:rsidR="005211B3" w:rsidRDefault="00000000">
            <w:pPr>
              <w:spacing w:after="40" w:line="276" w:lineRule="auto"/>
            </w:pPr>
            <w:r>
              <w:rPr>
                <w:sz w:val="20"/>
              </w:rPr>
              <w:t>Licence freeze, conversion incentives and housing protection.</w:t>
            </w:r>
          </w:p>
        </w:tc>
      </w:tr>
      <w:tr w:rsidR="005211B3" w14:paraId="669B96BF" w14:textId="77777777">
        <w:trPr>
          <w:jc w:val="center"/>
        </w:trPr>
        <w:tc>
          <w:tcPr>
            <w:tcW w:w="3120" w:type="dxa"/>
          </w:tcPr>
          <w:p w14:paraId="706E0D2D" w14:textId="77777777" w:rsidR="005211B3" w:rsidRDefault="00000000">
            <w:pPr>
              <w:spacing w:after="40" w:line="276" w:lineRule="auto"/>
            </w:pPr>
            <w:r>
              <w:rPr>
                <w:sz w:val="20"/>
              </w:rPr>
              <w:t>Environmental stress</w:t>
            </w:r>
          </w:p>
        </w:tc>
        <w:tc>
          <w:tcPr>
            <w:tcW w:w="3120" w:type="dxa"/>
          </w:tcPr>
          <w:p w14:paraId="48FC59E1" w14:textId="77777777" w:rsidR="005211B3" w:rsidRDefault="00000000">
            <w:pPr>
              <w:spacing w:after="40" w:line="276" w:lineRule="auto"/>
            </w:pPr>
            <w:r>
              <w:rPr>
                <w:sz w:val="20"/>
              </w:rPr>
              <w:t>Waste, water or trail indicators exceed capacity.</w:t>
            </w:r>
          </w:p>
        </w:tc>
        <w:tc>
          <w:tcPr>
            <w:tcW w:w="3120" w:type="dxa"/>
          </w:tcPr>
          <w:p w14:paraId="1410E12F" w14:textId="77777777" w:rsidR="005211B3" w:rsidRDefault="00000000">
            <w:pPr>
              <w:spacing w:after="40" w:line="276" w:lineRule="auto"/>
            </w:pPr>
            <w:r>
              <w:rPr>
                <w:sz w:val="20"/>
              </w:rPr>
              <w:t>Visitor cap, infrastructure upgrade and ecological restoration levy.</w:t>
            </w:r>
          </w:p>
        </w:tc>
      </w:tr>
    </w:tbl>
    <w:p w14:paraId="79F312F2" w14:textId="77777777" w:rsidR="005211B3" w:rsidRDefault="005211B3"/>
    <w:p w14:paraId="7D2ACDE3" w14:textId="77777777" w:rsidR="005211B3" w:rsidRDefault="00000000">
      <w:pPr>
        <w:spacing w:after="120" w:line="480" w:lineRule="auto"/>
      </w:pPr>
      <w:r>
        <w:t>The destination should treat thresholds as management commitments. If thresholds can be ignored for political or commercial reasons, the sustainability system loses credibility.</w:t>
      </w:r>
    </w:p>
    <w:p w14:paraId="6E2986F5" w14:textId="1CADA22A" w:rsidR="005211B3" w:rsidRDefault="005211B3">
      <w:pPr>
        <w:spacing w:after="120" w:line="480" w:lineRule="auto"/>
      </w:pPr>
    </w:p>
    <w:sectPr w:rsidR="005211B3" w:rsidSect="0003461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5DC99" w14:textId="77777777" w:rsidR="00E64DC1" w:rsidRDefault="00E64DC1">
      <w:pPr>
        <w:spacing w:after="0" w:line="240" w:lineRule="auto"/>
      </w:pPr>
      <w:r>
        <w:separator/>
      </w:r>
    </w:p>
  </w:endnote>
  <w:endnote w:type="continuationSeparator" w:id="0">
    <w:p w14:paraId="5DD39E35" w14:textId="77777777" w:rsidR="00E64DC1" w:rsidRDefault="00E64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96FB" w14:textId="77777777" w:rsidR="005211B3" w:rsidRDefault="00000000">
    <w:pPr>
      <w:pStyle w:val="Footer"/>
      <w:jc w:val="center"/>
    </w:pPr>
    <w:r>
      <w:t xml:space="preserve">M20 Tourism and Local Development Cooperation | Page </w:t>
    </w:r>
    <w:r>
      <w:fldChar w:fldCharType="begin"/>
    </w:r>
    <w:r>
      <w:instrText>PAGE</w:instrText>
    </w:r>
    <w:r w:rsidR="00F54DF5">
      <w:fldChar w:fldCharType="separate"/>
    </w:r>
    <w:r w:rsidR="00F54DF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97D5E" w14:textId="77777777" w:rsidR="00E64DC1" w:rsidRDefault="00E64DC1">
      <w:pPr>
        <w:spacing w:after="0" w:line="240" w:lineRule="auto"/>
      </w:pPr>
      <w:r>
        <w:separator/>
      </w:r>
    </w:p>
  </w:footnote>
  <w:footnote w:type="continuationSeparator" w:id="0">
    <w:p w14:paraId="6E2E61BC" w14:textId="77777777" w:rsidR="00E64DC1" w:rsidRDefault="00E64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51622677">
    <w:abstractNumId w:val="8"/>
  </w:num>
  <w:num w:numId="2" w16cid:durableId="141196588">
    <w:abstractNumId w:val="6"/>
  </w:num>
  <w:num w:numId="3" w16cid:durableId="2037535185">
    <w:abstractNumId w:val="5"/>
  </w:num>
  <w:num w:numId="4" w16cid:durableId="1583955034">
    <w:abstractNumId w:val="4"/>
  </w:num>
  <w:num w:numId="5" w16cid:durableId="1309286412">
    <w:abstractNumId w:val="7"/>
  </w:num>
  <w:num w:numId="6" w16cid:durableId="258609578">
    <w:abstractNumId w:val="3"/>
  </w:num>
  <w:num w:numId="7" w16cid:durableId="706223158">
    <w:abstractNumId w:val="2"/>
  </w:num>
  <w:num w:numId="8" w16cid:durableId="1982223287">
    <w:abstractNumId w:val="1"/>
  </w:num>
  <w:num w:numId="9" w16cid:durableId="118571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211B3"/>
    <w:rsid w:val="00AA1D8D"/>
    <w:rsid w:val="00B1714B"/>
    <w:rsid w:val="00B47730"/>
    <w:rsid w:val="00CB0664"/>
    <w:rsid w:val="00E64DC1"/>
    <w:rsid w:val="00F54D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1374BC"/>
  <w14:defaultImageDpi w14:val="300"/>
  <w15:docId w15:val="{23A34B4C-852C-4F90-A1D5-D325AE6A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5367</Words>
  <Characters>30596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35892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2026-05-21T11:40:00Z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8d94d5c0-e977-49e1-9de1-23928e07a370</vt:lpwstr>
  </property>
</Properties>
</file>