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9DE89"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51B1D45" w14:textId="77777777" w:rsidR="00672345" w:rsidRPr="0019504D" w:rsidRDefault="00672345" w:rsidP="00672345">
      <w:pPr>
        <w:rPr>
          <w:b/>
          <w:bCs/>
          <w:lang w:val="en-US"/>
        </w:rPr>
      </w:pPr>
      <w:r>
        <w:rPr>
          <w:b/>
          <w:bCs/>
          <w:lang w:val="en-US"/>
        </w:rPr>
        <w:t xml:space="preserve">Cultural Heritage Management </w:t>
      </w:r>
    </w:p>
    <w:p w14:paraId="7C3E836E"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054508FA"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44761598" w14:textId="77777777" w:rsidR="00672345" w:rsidRDefault="00672345"/>
    <w:p w14:paraId="01273998" w14:textId="77777777" w:rsidR="00672345" w:rsidRDefault="00672345"/>
    <w:p w14:paraId="58D939BC" w14:textId="77777777" w:rsidR="00672345" w:rsidRDefault="00672345"/>
    <w:p w14:paraId="2088C002" w14:textId="77777777" w:rsidR="00672345" w:rsidRDefault="00672345"/>
    <w:p w14:paraId="393AE272" w14:textId="77777777" w:rsidR="00672345" w:rsidRDefault="00672345"/>
    <w:p w14:paraId="230E0176" w14:textId="77777777" w:rsidR="00672345" w:rsidRDefault="00672345"/>
    <w:p w14:paraId="6B5AE1BC" w14:textId="77777777" w:rsidR="00672345" w:rsidRDefault="00672345"/>
    <w:p w14:paraId="1892C948" w14:textId="77777777" w:rsidR="00672345" w:rsidRDefault="00672345"/>
    <w:p w14:paraId="52409CDB" w14:textId="77777777" w:rsidR="00672345" w:rsidRDefault="00672345"/>
    <w:p w14:paraId="13CE6543" w14:textId="77777777" w:rsidR="00672345" w:rsidRDefault="00672345"/>
    <w:p w14:paraId="700F7DCC" w14:textId="77777777" w:rsidR="00672345" w:rsidRDefault="00672345"/>
    <w:p w14:paraId="1D59FFBC" w14:textId="77777777" w:rsidR="00672345" w:rsidRDefault="00672345"/>
    <w:p w14:paraId="20B49642" w14:textId="77777777" w:rsidR="00672345" w:rsidRDefault="00672345"/>
    <w:p w14:paraId="4AF515FA"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3758F3E8" w14:textId="77777777" w:rsidR="00016EE8" w:rsidRDefault="00016EE8" w:rsidP="00016EE8">
      <w:pPr>
        <w:rPr>
          <w:lang w:val="en-US"/>
        </w:rPr>
      </w:pPr>
    </w:p>
    <w:p w14:paraId="6A91EE2F"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7B6B7848"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64F261FB" w14:textId="77777777" w:rsidR="005E1FD5" w:rsidRPr="005E1FD5" w:rsidRDefault="005E1FD5" w:rsidP="005E1FD5">
      <w:pPr>
        <w:spacing w:line="276" w:lineRule="auto"/>
        <w:rPr>
          <w:lang w:val="en-US"/>
        </w:rPr>
      </w:pPr>
    </w:p>
    <w:p w14:paraId="41A5D5E4"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120B6166"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59A44A2A"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0EBE0B5F"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2BC6F462" w14:textId="77777777" w:rsidR="00CF34F8" w:rsidRDefault="005E1FD5" w:rsidP="005E1FD5">
      <w:pPr>
        <w:pStyle w:val="ListParagraph"/>
        <w:numPr>
          <w:ilvl w:val="0"/>
          <w:numId w:val="9"/>
        </w:numPr>
        <w:spacing w:line="276" w:lineRule="auto"/>
        <w:rPr>
          <w:lang w:val="en-US"/>
        </w:rPr>
      </w:pPr>
      <w:r w:rsidRPr="005E1FD5">
        <w:rPr>
          <w:lang w:val="en-US"/>
        </w:rPr>
        <w:t>Possible mitigation measures</w:t>
      </w:r>
    </w:p>
    <w:p w14:paraId="2A518FF4" w14:textId="77777777" w:rsidR="001B53D4" w:rsidRDefault="001B53D4" w:rsidP="001B53D4">
      <w:pPr>
        <w:pStyle w:val="ListParagraph"/>
        <w:spacing w:line="276" w:lineRule="auto"/>
        <w:ind w:left="0"/>
        <w:rPr>
          <w:lang w:val="en-US"/>
        </w:rPr>
      </w:pPr>
    </w:p>
    <w:p w14:paraId="73374BAE" w14:textId="77777777" w:rsidR="001B53D4" w:rsidRDefault="001B53D4" w:rsidP="001B53D4">
      <w:pPr>
        <w:pStyle w:val="ListParagraph"/>
        <w:spacing w:line="276" w:lineRule="auto"/>
        <w:ind w:left="0"/>
        <w:rPr>
          <w:lang w:val="en-US"/>
        </w:rPr>
      </w:pPr>
    </w:p>
    <w:p w14:paraId="0276836F" w14:textId="77777777" w:rsidR="001B53D4" w:rsidRDefault="001B53D4" w:rsidP="001B53D4">
      <w:pPr>
        <w:pStyle w:val="ListParagraph"/>
        <w:spacing w:line="276" w:lineRule="auto"/>
        <w:ind w:left="0"/>
        <w:rPr>
          <w:lang w:val="en-US"/>
        </w:rPr>
      </w:pPr>
    </w:p>
    <w:p w14:paraId="77248973" w14:textId="77777777" w:rsidR="001B53D4" w:rsidRDefault="001B53D4" w:rsidP="001B53D4">
      <w:pPr>
        <w:pStyle w:val="ListParagraph"/>
        <w:spacing w:line="276" w:lineRule="auto"/>
        <w:ind w:left="0"/>
        <w:rPr>
          <w:lang w:val="en-US"/>
        </w:rPr>
      </w:pPr>
    </w:p>
    <w:p w14:paraId="2D45F49F" w14:textId="77777777" w:rsidR="001B53D4" w:rsidRDefault="001B53D4" w:rsidP="001B53D4">
      <w:pPr>
        <w:pStyle w:val="ListParagraph"/>
        <w:spacing w:line="276" w:lineRule="auto"/>
        <w:ind w:left="0"/>
        <w:rPr>
          <w:lang w:val="en-US"/>
        </w:rPr>
      </w:pPr>
    </w:p>
    <w:p w14:paraId="259CF979" w14:textId="77777777" w:rsidR="001B53D4" w:rsidRDefault="001B53D4" w:rsidP="001B53D4">
      <w:pPr>
        <w:pStyle w:val="ListParagraph"/>
        <w:spacing w:line="276" w:lineRule="auto"/>
        <w:ind w:left="0"/>
        <w:rPr>
          <w:lang w:val="en-US"/>
        </w:rPr>
      </w:pPr>
    </w:p>
    <w:p w14:paraId="3FF168BB" w14:textId="77777777" w:rsidR="001B53D4" w:rsidRDefault="001B53D4" w:rsidP="001B53D4">
      <w:pPr>
        <w:pStyle w:val="ListParagraph"/>
        <w:spacing w:line="276" w:lineRule="auto"/>
        <w:ind w:left="0"/>
        <w:rPr>
          <w:lang w:val="en-US"/>
        </w:rPr>
      </w:pPr>
    </w:p>
    <w:p w14:paraId="12AF0EBD" w14:textId="77777777" w:rsidR="001B53D4" w:rsidRDefault="001B53D4" w:rsidP="001B53D4">
      <w:pPr>
        <w:pStyle w:val="ListParagraph"/>
        <w:spacing w:line="276" w:lineRule="auto"/>
        <w:ind w:left="0"/>
        <w:rPr>
          <w:lang w:val="en-US"/>
        </w:rPr>
      </w:pPr>
    </w:p>
    <w:p w14:paraId="6D8ADB05" w14:textId="77777777" w:rsidR="001B53D4" w:rsidRDefault="001B53D4" w:rsidP="001B53D4">
      <w:pPr>
        <w:pStyle w:val="ListParagraph"/>
        <w:spacing w:line="276" w:lineRule="auto"/>
        <w:ind w:left="0"/>
        <w:rPr>
          <w:lang w:val="en-US"/>
        </w:rPr>
      </w:pPr>
    </w:p>
    <w:p w14:paraId="6013F4AC" w14:textId="77777777" w:rsidR="001B53D4" w:rsidRDefault="001B53D4" w:rsidP="001B53D4">
      <w:pPr>
        <w:pStyle w:val="ListParagraph"/>
        <w:spacing w:line="276" w:lineRule="auto"/>
        <w:ind w:left="0"/>
        <w:rPr>
          <w:lang w:val="en-US"/>
        </w:rPr>
      </w:pPr>
    </w:p>
    <w:p w14:paraId="6B70A429" w14:textId="77777777" w:rsidR="001B53D4" w:rsidRDefault="001B53D4" w:rsidP="001B53D4">
      <w:pPr>
        <w:pStyle w:val="ListParagraph"/>
        <w:spacing w:line="276" w:lineRule="auto"/>
        <w:ind w:left="0"/>
        <w:rPr>
          <w:lang w:val="en-US"/>
        </w:rPr>
      </w:pPr>
    </w:p>
    <w:p w14:paraId="26786351" w14:textId="77777777" w:rsidR="001B53D4" w:rsidRDefault="001B53D4" w:rsidP="001B53D4">
      <w:pPr>
        <w:pStyle w:val="ListParagraph"/>
        <w:spacing w:line="276" w:lineRule="auto"/>
        <w:ind w:left="0"/>
        <w:rPr>
          <w:lang w:val="en-US"/>
        </w:rPr>
      </w:pPr>
    </w:p>
    <w:p w14:paraId="19645CC0" w14:textId="77777777" w:rsidR="001B53D4" w:rsidRDefault="001B53D4" w:rsidP="001B53D4">
      <w:pPr>
        <w:pStyle w:val="ListParagraph"/>
        <w:spacing w:line="276" w:lineRule="auto"/>
        <w:ind w:left="0"/>
        <w:rPr>
          <w:lang w:val="en-US"/>
        </w:rPr>
      </w:pPr>
    </w:p>
    <w:p w14:paraId="5021CDB8" w14:textId="77777777" w:rsidR="001B53D4" w:rsidRDefault="001B53D4" w:rsidP="001B53D4">
      <w:pPr>
        <w:pStyle w:val="ListParagraph"/>
        <w:spacing w:line="276" w:lineRule="auto"/>
        <w:ind w:left="0"/>
        <w:rPr>
          <w:lang w:val="en-US"/>
        </w:rPr>
      </w:pPr>
    </w:p>
    <w:p w14:paraId="4D172159" w14:textId="77777777" w:rsidR="001B53D4" w:rsidRDefault="001B53D4" w:rsidP="001B53D4">
      <w:pPr>
        <w:pStyle w:val="ListParagraph"/>
        <w:spacing w:line="276" w:lineRule="auto"/>
        <w:ind w:left="0"/>
        <w:rPr>
          <w:lang w:val="en-US"/>
        </w:rPr>
      </w:pPr>
    </w:p>
    <w:p w14:paraId="0BA98807" w14:textId="77777777" w:rsidR="001B53D4" w:rsidRDefault="001B53D4" w:rsidP="001B53D4">
      <w:pPr>
        <w:pStyle w:val="ListParagraph"/>
        <w:spacing w:line="276" w:lineRule="auto"/>
        <w:ind w:left="0"/>
        <w:rPr>
          <w:lang w:val="en-US"/>
        </w:rPr>
      </w:pPr>
      <w:r>
        <w:rPr>
          <w:lang w:val="en-US"/>
        </w:rPr>
        <w:t>\</w:t>
      </w:r>
    </w:p>
    <w:p w14:paraId="27BCCB10" w14:textId="02803623" w:rsidR="001B53D4" w:rsidRPr="001B53D4" w:rsidRDefault="001B53D4" w:rsidP="001B53D4">
      <w:pPr>
        <w:pStyle w:val="ListParagraph"/>
        <w:spacing w:line="276" w:lineRule="auto"/>
        <w:ind w:left="0"/>
        <w:rPr>
          <w:lang w:val="en-US"/>
        </w:rPr>
      </w:pPr>
      <w:r w:rsidRPr="001B53D4">
        <w:rPr>
          <w:b/>
          <w:bCs/>
          <w:lang w:val="en-GB"/>
        </w:rPr>
        <w:lastRenderedPageBreak/>
        <w:t>Can Different Stakeholders Assign Different Values to the Same Heritage Attribute?</w:t>
      </w:r>
    </w:p>
    <w:p w14:paraId="10C6E04F" w14:textId="77777777" w:rsidR="001B53D4" w:rsidRPr="001B53D4" w:rsidRDefault="001B53D4" w:rsidP="001B53D4">
      <w:pPr>
        <w:pStyle w:val="ListParagraph"/>
        <w:spacing w:line="276" w:lineRule="auto"/>
        <w:rPr>
          <w:lang w:val="en-GB"/>
        </w:rPr>
      </w:pPr>
      <w:r w:rsidRPr="001B53D4">
        <w:rPr>
          <w:lang w:val="en-GB"/>
        </w:rPr>
        <w:t>Yes, different stakeholders frequently assign different values to the same heritage attribute because heritage significance is socially constructed and influenced by cultural, economic, political, and personal perspectives. A single heritage feature may therefore possess multiple meanings depending on who is assessing it.</w:t>
      </w:r>
    </w:p>
    <w:p w14:paraId="3897F2B8" w14:textId="77777777" w:rsidR="001B53D4" w:rsidRPr="001B53D4" w:rsidRDefault="001B53D4" w:rsidP="001B53D4">
      <w:pPr>
        <w:pStyle w:val="ListParagraph"/>
        <w:spacing w:line="276" w:lineRule="auto"/>
        <w:rPr>
          <w:lang w:val="en-GB"/>
        </w:rPr>
      </w:pPr>
      <w:r w:rsidRPr="001B53D4">
        <w:rPr>
          <w:lang w:val="en-GB"/>
        </w:rPr>
        <w:t>For example, a historic fort may be valued by historians and archaeologists for its architectural design and evidence of past civilizations. Local communities may regard the same fort as part of their cultural identity and collective memory. Tourists may appreciate it primarily for its aesthetic appeal and recreational opportunities, while government authorities may focus on its tourism potential and contribution to regional development. Investors and developers may perceive the surrounding area as an opportunity for economic growth through infrastructure and commercial projects.</w:t>
      </w:r>
    </w:p>
    <w:p w14:paraId="38474347" w14:textId="77777777" w:rsidR="001B53D4" w:rsidRPr="001B53D4" w:rsidRDefault="001B53D4" w:rsidP="001B53D4">
      <w:pPr>
        <w:pStyle w:val="ListParagraph"/>
        <w:spacing w:line="276" w:lineRule="auto"/>
        <w:rPr>
          <w:lang w:val="en-GB"/>
        </w:rPr>
      </w:pPr>
      <w:r w:rsidRPr="001B53D4">
        <w:rPr>
          <w:lang w:val="en-GB"/>
        </w:rPr>
        <w:t>Such differing interpretations can create conflicts in heritage management. For instance, tourism development may generate economic benefits but simultaneously threaten the authenticity and integrity of a heritage site. Likewise, conservation experts may advocate strict preservation measures, whereas local communities may seek adaptive reuse to support contemporary social and economic needs.</w:t>
      </w:r>
    </w:p>
    <w:p w14:paraId="20ECCABE" w14:textId="77777777" w:rsidR="001B53D4" w:rsidRPr="001B53D4" w:rsidRDefault="001B53D4" w:rsidP="001B53D4">
      <w:pPr>
        <w:pStyle w:val="ListParagraph"/>
        <w:spacing w:line="276" w:lineRule="auto"/>
        <w:rPr>
          <w:lang w:val="en-GB"/>
        </w:rPr>
      </w:pPr>
      <w:r w:rsidRPr="001B53D4">
        <w:rPr>
          <w:lang w:val="en-GB"/>
        </w:rPr>
        <w:t xml:space="preserve">Recognizing multiple stakeholder values is therefore essential for sustainable heritage management. Modern heritage policies increasingly encourage participatory approaches that involve </w:t>
      </w:r>
      <w:proofErr w:type="gramStart"/>
      <w:r w:rsidRPr="001B53D4">
        <w:rPr>
          <w:lang w:val="en-GB"/>
        </w:rPr>
        <w:t>local residents</w:t>
      </w:r>
      <w:proofErr w:type="gramEnd"/>
      <w:r w:rsidRPr="001B53D4">
        <w:rPr>
          <w:lang w:val="en-GB"/>
        </w:rPr>
        <w:t>, government agencies, heritage professionals, tourists, and private-sector actors in decision-making. Inclusive management helps identify competing interests, reduce conflicts, and achieve balanced outcomes between conservation and development.</w:t>
      </w:r>
    </w:p>
    <w:p w14:paraId="372AAD98" w14:textId="77777777" w:rsidR="001B53D4" w:rsidRPr="001B53D4" w:rsidRDefault="001B53D4" w:rsidP="001B53D4">
      <w:pPr>
        <w:pStyle w:val="ListParagraph"/>
        <w:spacing w:line="276" w:lineRule="auto"/>
        <w:rPr>
          <w:lang w:val="en-GB"/>
        </w:rPr>
      </w:pPr>
      <w:r w:rsidRPr="001B53D4">
        <w:rPr>
          <w:lang w:val="en-GB"/>
        </w:rPr>
        <w:t>A useful example is the historic city of Venice, where residents value the city as a living community, tourists view it as a cultural destination, and authorities seek to balance economic benefits with conservation concerns. The differing values assigned to Venice’s canals, architecture, and public spaces demonstrate the complexity of managing heritage resources in contemporary society.</w:t>
      </w:r>
    </w:p>
    <w:p w14:paraId="7B528080" w14:textId="77777777" w:rsidR="001B53D4" w:rsidRPr="001B53D4" w:rsidRDefault="001B53D4" w:rsidP="001B53D4">
      <w:pPr>
        <w:pStyle w:val="ListParagraph"/>
        <w:spacing w:line="276" w:lineRule="auto"/>
        <w:rPr>
          <w:lang w:val="en-GB"/>
        </w:rPr>
      </w:pPr>
      <w:r w:rsidRPr="001B53D4">
        <w:rPr>
          <w:lang w:val="en-GB"/>
        </w:rPr>
        <w:t>In conclusion, heritage attributes rarely possess a single universal meaning. Different stakeholders assign distinct values based on their interests, experiences, and objectives. Effective heritage management therefore requires a value-based and participatory approach that acknowledges diverse perspectives while ensuring long-term conservation of cultural significance.</w:t>
      </w:r>
    </w:p>
    <w:p w14:paraId="27189800" w14:textId="77777777" w:rsidR="001B53D4" w:rsidRPr="001B53D4" w:rsidRDefault="001B53D4" w:rsidP="001B53D4">
      <w:pPr>
        <w:pStyle w:val="ListParagraph"/>
        <w:spacing w:line="276" w:lineRule="auto"/>
        <w:rPr>
          <w:b/>
          <w:bCs/>
          <w:lang w:val="en-GB"/>
        </w:rPr>
      </w:pPr>
      <w:r w:rsidRPr="001B53D4">
        <w:rPr>
          <w:b/>
          <w:bCs/>
          <w:lang w:val="en-GB"/>
        </w:rPr>
        <w:t>References</w:t>
      </w:r>
    </w:p>
    <w:p w14:paraId="758C083F" w14:textId="77777777" w:rsidR="001B53D4" w:rsidRPr="001B53D4" w:rsidRDefault="001B53D4" w:rsidP="001B53D4">
      <w:pPr>
        <w:pStyle w:val="ListParagraph"/>
        <w:spacing w:line="276" w:lineRule="auto"/>
        <w:rPr>
          <w:lang w:val="en-GB"/>
        </w:rPr>
      </w:pPr>
      <w:r w:rsidRPr="001B53D4">
        <w:rPr>
          <w:lang w:val="en-GB"/>
        </w:rPr>
        <w:t xml:space="preserve">Fredheim, L. H., &amp; Khalaf, M. (2016). The significance of values: Heritage value typologies re-examined. </w:t>
      </w:r>
      <w:r w:rsidRPr="001B53D4">
        <w:rPr>
          <w:i/>
          <w:iCs/>
          <w:lang w:val="en-GB"/>
        </w:rPr>
        <w:t>International Journal of Heritage Studies, 22</w:t>
      </w:r>
      <w:r w:rsidRPr="001B53D4">
        <w:rPr>
          <w:lang w:val="en-GB"/>
        </w:rPr>
        <w:t xml:space="preserve">(6), 466–481. </w:t>
      </w:r>
      <w:hyperlink r:id="rId6" w:tgtFrame="_new" w:history="1">
        <w:r w:rsidRPr="001B53D4">
          <w:rPr>
            <w:rStyle w:val="Hyperlink"/>
            <w:lang w:val="en-GB"/>
          </w:rPr>
          <w:t>https://doi.org/10.1080/13527258.2016.1171247</w:t>
        </w:r>
      </w:hyperlink>
    </w:p>
    <w:p w14:paraId="18254755" w14:textId="77777777" w:rsidR="001B53D4" w:rsidRPr="001B53D4" w:rsidRDefault="001B53D4" w:rsidP="001B53D4">
      <w:pPr>
        <w:pStyle w:val="ListParagraph"/>
        <w:spacing w:line="276" w:lineRule="auto"/>
        <w:rPr>
          <w:lang w:val="en-GB"/>
        </w:rPr>
      </w:pPr>
      <w:r w:rsidRPr="001B53D4">
        <w:rPr>
          <w:lang w:val="en-GB"/>
        </w:rPr>
        <w:t xml:space="preserve">Waterton, E., &amp; Smith, L. (2010). The recognition and misrecognition of community heritage. </w:t>
      </w:r>
      <w:r w:rsidRPr="001B53D4">
        <w:rPr>
          <w:i/>
          <w:iCs/>
          <w:lang w:val="en-GB"/>
        </w:rPr>
        <w:t>International Journal of Heritage Studies, 16</w:t>
      </w:r>
      <w:r w:rsidRPr="001B53D4">
        <w:rPr>
          <w:lang w:val="en-GB"/>
        </w:rPr>
        <w:t xml:space="preserve">(1–2), 4–15. </w:t>
      </w:r>
      <w:hyperlink r:id="rId7" w:tgtFrame="_new" w:history="1">
        <w:r w:rsidRPr="001B53D4">
          <w:rPr>
            <w:rStyle w:val="Hyperlink"/>
            <w:lang w:val="en-GB"/>
          </w:rPr>
          <w:t>https://doi.org/10.1080/13527250903441671</w:t>
        </w:r>
      </w:hyperlink>
    </w:p>
    <w:p w14:paraId="692E57D3" w14:textId="77777777" w:rsidR="001B53D4" w:rsidRPr="001B53D4" w:rsidRDefault="001B53D4" w:rsidP="001B53D4">
      <w:pPr>
        <w:pStyle w:val="ListParagraph"/>
        <w:spacing w:line="276" w:lineRule="auto"/>
        <w:rPr>
          <w:b/>
          <w:bCs/>
          <w:lang w:val="en-GB"/>
        </w:rPr>
      </w:pPr>
      <w:r w:rsidRPr="001B53D4">
        <w:rPr>
          <w:b/>
          <w:bCs/>
          <w:lang w:val="en-GB"/>
        </w:rPr>
        <w:lastRenderedPageBreak/>
        <w:t>Website References</w:t>
      </w:r>
    </w:p>
    <w:p w14:paraId="31EC3296" w14:textId="77777777" w:rsidR="001B53D4" w:rsidRPr="001B53D4" w:rsidRDefault="001B53D4" w:rsidP="001B53D4">
      <w:pPr>
        <w:pStyle w:val="ListParagraph"/>
        <w:spacing w:line="276" w:lineRule="auto"/>
        <w:rPr>
          <w:lang w:val="en-GB"/>
        </w:rPr>
      </w:pPr>
      <w:r w:rsidRPr="001B53D4">
        <w:rPr>
          <w:lang w:val="en-GB"/>
        </w:rPr>
        <w:t xml:space="preserve">UNESCO World Heritage Centre. </w:t>
      </w:r>
      <w:r w:rsidRPr="001B53D4">
        <w:rPr>
          <w:i/>
          <w:iCs/>
          <w:lang w:val="en-GB"/>
        </w:rPr>
        <w:t>World Heritage and Sustainable Development</w:t>
      </w:r>
      <w:r w:rsidRPr="001B53D4">
        <w:rPr>
          <w:lang w:val="en-GB"/>
        </w:rPr>
        <w:t xml:space="preserve">. </w:t>
      </w:r>
      <w:hyperlink r:id="rId8" w:tgtFrame="_new" w:history="1">
        <w:r w:rsidRPr="001B53D4">
          <w:rPr>
            <w:rStyle w:val="Hyperlink"/>
            <w:lang w:val="en-GB"/>
          </w:rPr>
          <w:t>https://whc.unesco.org</w:t>
        </w:r>
      </w:hyperlink>
    </w:p>
    <w:p w14:paraId="4D5D84C6" w14:textId="77777777" w:rsidR="001B53D4" w:rsidRPr="001B53D4" w:rsidRDefault="001B53D4" w:rsidP="001B53D4">
      <w:pPr>
        <w:pStyle w:val="ListParagraph"/>
        <w:spacing w:line="276" w:lineRule="auto"/>
        <w:rPr>
          <w:lang w:val="en-GB"/>
        </w:rPr>
      </w:pPr>
      <w:r w:rsidRPr="001B53D4">
        <w:rPr>
          <w:lang w:val="en-GB"/>
        </w:rPr>
        <w:t xml:space="preserve">ICOMOS. </w:t>
      </w:r>
      <w:r w:rsidRPr="001B53D4">
        <w:rPr>
          <w:i/>
          <w:iCs/>
          <w:lang w:val="en-GB"/>
        </w:rPr>
        <w:t>Guidance on Heritage Impact Assessments for Cultural World Heritage Properties</w:t>
      </w:r>
      <w:r w:rsidRPr="001B53D4">
        <w:rPr>
          <w:lang w:val="en-GB"/>
        </w:rPr>
        <w:t xml:space="preserve">. </w:t>
      </w:r>
      <w:hyperlink r:id="rId9" w:tgtFrame="_new" w:history="1">
        <w:r w:rsidRPr="001B53D4">
          <w:rPr>
            <w:rStyle w:val="Hyperlink"/>
            <w:lang w:val="en-GB"/>
          </w:rPr>
          <w:t>https://www.icomos.org</w:t>
        </w:r>
      </w:hyperlink>
    </w:p>
    <w:p w14:paraId="17BB896E" w14:textId="77777777" w:rsidR="001B53D4" w:rsidRPr="001B53D4" w:rsidRDefault="001B53D4" w:rsidP="001B53D4">
      <w:pPr>
        <w:pStyle w:val="ListParagraph"/>
        <w:spacing w:line="276" w:lineRule="auto"/>
        <w:rPr>
          <w:lang w:val="en-GB"/>
        </w:rPr>
      </w:pPr>
      <w:r w:rsidRPr="001B53D4">
        <w:rPr>
          <w:lang w:val="en-GB"/>
        </w:rPr>
        <w:pict w14:anchorId="5D3A7C3B">
          <v:rect id="_x0000_i1031" style="width:0;height:1.5pt" o:hralign="center" o:hrstd="t" o:hr="t" fillcolor="#a0a0a0" stroked="f"/>
        </w:pict>
      </w:r>
    </w:p>
    <w:p w14:paraId="10941136" w14:textId="77777777" w:rsidR="001B53D4" w:rsidRPr="001B53D4" w:rsidRDefault="001B53D4" w:rsidP="001B53D4">
      <w:pPr>
        <w:pStyle w:val="ListParagraph"/>
        <w:spacing w:line="276" w:lineRule="auto"/>
        <w:rPr>
          <w:b/>
          <w:bCs/>
          <w:lang w:val="en-GB"/>
        </w:rPr>
      </w:pPr>
      <w:r w:rsidRPr="001B53D4">
        <w:rPr>
          <w:b/>
          <w:bCs/>
          <w:lang w:val="en-GB"/>
        </w:rPr>
        <w:t>2. Evaluation of Five Attributes from the Taj Mahal, India</w:t>
      </w:r>
    </w:p>
    <w:p w14:paraId="1B650CB3" w14:textId="77777777" w:rsidR="001B53D4" w:rsidRPr="001B53D4" w:rsidRDefault="001B53D4" w:rsidP="001B53D4">
      <w:pPr>
        <w:pStyle w:val="ListParagraph"/>
        <w:spacing w:line="276" w:lineRule="auto"/>
        <w:rPr>
          <w:lang w:val="en-GB"/>
        </w:rPr>
      </w:pPr>
      <w:r w:rsidRPr="001B53D4">
        <w:rPr>
          <w:lang w:val="en-GB"/>
        </w:rPr>
        <w:t xml:space="preserve">The </w:t>
      </w:r>
      <w:r w:rsidRPr="001B53D4">
        <w:rPr>
          <w:b/>
          <w:bCs/>
          <w:lang w:val="en-GB"/>
        </w:rPr>
        <w:t>Taj Mahal</w:t>
      </w:r>
      <w:r w:rsidRPr="001B53D4">
        <w:rPr>
          <w:lang w:val="en-GB"/>
        </w:rPr>
        <w:t>, a UNESCO World Heritage Site in Agra, India, is one of the most recognized cultural monuments in the world. Built by Mughal Emperor Shah Jahan in the seventeenth century, it possesses outstanding architectural, historical, artistic, and symbolic significance.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gridCol w:w="1908"/>
        <w:gridCol w:w="1698"/>
        <w:gridCol w:w="1903"/>
        <w:gridCol w:w="1816"/>
      </w:tblGrid>
      <w:tr w:rsidR="001B53D4" w:rsidRPr="001B53D4" w14:paraId="0C4B96F6" w14:textId="77777777">
        <w:trPr>
          <w:tblHeader/>
          <w:tblCellSpacing w:w="15" w:type="dxa"/>
        </w:trPr>
        <w:tc>
          <w:tcPr>
            <w:tcW w:w="0" w:type="auto"/>
            <w:vAlign w:val="center"/>
            <w:hideMark/>
          </w:tcPr>
          <w:p w14:paraId="0EA4FED4" w14:textId="77777777" w:rsidR="001B53D4" w:rsidRPr="001B53D4" w:rsidRDefault="001B53D4" w:rsidP="001B53D4">
            <w:pPr>
              <w:pStyle w:val="ListParagraph"/>
              <w:spacing w:line="276" w:lineRule="auto"/>
              <w:rPr>
                <w:b/>
                <w:bCs/>
                <w:lang w:val="en-GB"/>
              </w:rPr>
            </w:pPr>
            <w:r w:rsidRPr="001B53D4">
              <w:rPr>
                <w:b/>
                <w:bCs/>
                <w:lang w:val="en-GB"/>
              </w:rPr>
              <w:t>Heritage Attribute</w:t>
            </w:r>
          </w:p>
        </w:tc>
        <w:tc>
          <w:tcPr>
            <w:tcW w:w="0" w:type="auto"/>
            <w:vAlign w:val="center"/>
            <w:hideMark/>
          </w:tcPr>
          <w:p w14:paraId="6AD0CFA6" w14:textId="77777777" w:rsidR="001B53D4" w:rsidRPr="001B53D4" w:rsidRDefault="001B53D4" w:rsidP="001B53D4">
            <w:pPr>
              <w:pStyle w:val="ListParagraph"/>
              <w:spacing w:line="276" w:lineRule="auto"/>
              <w:rPr>
                <w:b/>
                <w:bCs/>
                <w:lang w:val="en-GB"/>
              </w:rPr>
            </w:pPr>
            <w:r w:rsidRPr="001B53D4">
              <w:rPr>
                <w:b/>
                <w:bCs/>
                <w:lang w:val="en-GB"/>
              </w:rPr>
              <w:t>Heritage Value Conveyed</w:t>
            </w:r>
          </w:p>
        </w:tc>
        <w:tc>
          <w:tcPr>
            <w:tcW w:w="0" w:type="auto"/>
            <w:vAlign w:val="center"/>
            <w:hideMark/>
          </w:tcPr>
          <w:p w14:paraId="67BAFBD4" w14:textId="77777777" w:rsidR="001B53D4" w:rsidRPr="001B53D4" w:rsidRDefault="001B53D4" w:rsidP="001B53D4">
            <w:pPr>
              <w:pStyle w:val="ListParagraph"/>
              <w:spacing w:line="276" w:lineRule="auto"/>
              <w:rPr>
                <w:b/>
                <w:bCs/>
                <w:lang w:val="en-GB"/>
              </w:rPr>
            </w:pPr>
            <w:r w:rsidRPr="001B53D4">
              <w:rPr>
                <w:b/>
                <w:bCs/>
                <w:lang w:val="en-GB"/>
              </w:rPr>
              <w:t>Significance Level</w:t>
            </w:r>
          </w:p>
        </w:tc>
        <w:tc>
          <w:tcPr>
            <w:tcW w:w="0" w:type="auto"/>
            <w:vAlign w:val="center"/>
            <w:hideMark/>
          </w:tcPr>
          <w:p w14:paraId="0B5BDCD8" w14:textId="77777777" w:rsidR="001B53D4" w:rsidRPr="001B53D4" w:rsidRDefault="001B53D4" w:rsidP="001B53D4">
            <w:pPr>
              <w:pStyle w:val="ListParagraph"/>
              <w:spacing w:line="276" w:lineRule="auto"/>
              <w:rPr>
                <w:b/>
                <w:bCs/>
                <w:lang w:val="en-GB"/>
              </w:rPr>
            </w:pPr>
            <w:r w:rsidRPr="001B53D4">
              <w:rPr>
                <w:b/>
                <w:bCs/>
                <w:lang w:val="en-GB"/>
              </w:rPr>
              <w:t>Potential Impacts from Development</w:t>
            </w:r>
          </w:p>
        </w:tc>
        <w:tc>
          <w:tcPr>
            <w:tcW w:w="0" w:type="auto"/>
            <w:vAlign w:val="center"/>
            <w:hideMark/>
          </w:tcPr>
          <w:p w14:paraId="5E34025D" w14:textId="77777777" w:rsidR="001B53D4" w:rsidRPr="001B53D4" w:rsidRDefault="001B53D4" w:rsidP="001B53D4">
            <w:pPr>
              <w:pStyle w:val="ListParagraph"/>
              <w:spacing w:line="276" w:lineRule="auto"/>
              <w:rPr>
                <w:b/>
                <w:bCs/>
                <w:lang w:val="en-GB"/>
              </w:rPr>
            </w:pPr>
            <w:r w:rsidRPr="001B53D4">
              <w:rPr>
                <w:b/>
                <w:bCs/>
                <w:lang w:val="en-GB"/>
              </w:rPr>
              <w:t>Possible Mitigation Measures</w:t>
            </w:r>
          </w:p>
        </w:tc>
      </w:tr>
      <w:tr w:rsidR="001B53D4" w:rsidRPr="001B53D4" w14:paraId="272E8AB9" w14:textId="77777777">
        <w:trPr>
          <w:tblCellSpacing w:w="15" w:type="dxa"/>
        </w:trPr>
        <w:tc>
          <w:tcPr>
            <w:tcW w:w="0" w:type="auto"/>
            <w:vAlign w:val="center"/>
            <w:hideMark/>
          </w:tcPr>
          <w:p w14:paraId="4AEB016E" w14:textId="77777777" w:rsidR="001B53D4" w:rsidRPr="001B53D4" w:rsidRDefault="001B53D4" w:rsidP="001B53D4">
            <w:pPr>
              <w:pStyle w:val="ListParagraph"/>
              <w:spacing w:line="276" w:lineRule="auto"/>
              <w:rPr>
                <w:lang w:val="en-GB"/>
              </w:rPr>
            </w:pPr>
            <w:r w:rsidRPr="001B53D4">
              <w:rPr>
                <w:lang w:val="en-GB"/>
              </w:rPr>
              <w:t>Main Mausoleum</w:t>
            </w:r>
          </w:p>
        </w:tc>
        <w:tc>
          <w:tcPr>
            <w:tcW w:w="0" w:type="auto"/>
            <w:vAlign w:val="center"/>
            <w:hideMark/>
          </w:tcPr>
          <w:p w14:paraId="34A2BD4A" w14:textId="77777777" w:rsidR="001B53D4" w:rsidRPr="001B53D4" w:rsidRDefault="001B53D4" w:rsidP="001B53D4">
            <w:pPr>
              <w:pStyle w:val="ListParagraph"/>
              <w:spacing w:line="276" w:lineRule="auto"/>
              <w:rPr>
                <w:lang w:val="en-GB"/>
              </w:rPr>
            </w:pPr>
            <w:r w:rsidRPr="001B53D4">
              <w:rPr>
                <w:lang w:val="en-GB"/>
              </w:rPr>
              <w:t>Architectural and artistic excellence of Mughal architecture</w:t>
            </w:r>
          </w:p>
        </w:tc>
        <w:tc>
          <w:tcPr>
            <w:tcW w:w="0" w:type="auto"/>
            <w:vAlign w:val="center"/>
            <w:hideMark/>
          </w:tcPr>
          <w:p w14:paraId="6244A209" w14:textId="77777777" w:rsidR="001B53D4" w:rsidRPr="001B53D4" w:rsidRDefault="001B53D4" w:rsidP="001B53D4">
            <w:pPr>
              <w:pStyle w:val="ListParagraph"/>
              <w:spacing w:line="276" w:lineRule="auto"/>
              <w:rPr>
                <w:lang w:val="en-GB"/>
              </w:rPr>
            </w:pPr>
            <w:r w:rsidRPr="001B53D4">
              <w:rPr>
                <w:lang w:val="en-GB"/>
              </w:rPr>
              <w:t>Very High</w:t>
            </w:r>
          </w:p>
        </w:tc>
        <w:tc>
          <w:tcPr>
            <w:tcW w:w="0" w:type="auto"/>
            <w:vAlign w:val="center"/>
            <w:hideMark/>
          </w:tcPr>
          <w:p w14:paraId="7E093185" w14:textId="77777777" w:rsidR="001B53D4" w:rsidRPr="001B53D4" w:rsidRDefault="001B53D4" w:rsidP="001B53D4">
            <w:pPr>
              <w:pStyle w:val="ListParagraph"/>
              <w:spacing w:line="276" w:lineRule="auto"/>
              <w:rPr>
                <w:lang w:val="en-GB"/>
              </w:rPr>
            </w:pPr>
            <w:r w:rsidRPr="001B53D4">
              <w:rPr>
                <w:lang w:val="en-GB"/>
              </w:rPr>
              <w:t>Air pollution, structural vibration, overcrowding</w:t>
            </w:r>
          </w:p>
        </w:tc>
        <w:tc>
          <w:tcPr>
            <w:tcW w:w="0" w:type="auto"/>
            <w:vAlign w:val="center"/>
            <w:hideMark/>
          </w:tcPr>
          <w:p w14:paraId="41BDBDFE" w14:textId="77777777" w:rsidR="001B53D4" w:rsidRPr="001B53D4" w:rsidRDefault="001B53D4" w:rsidP="001B53D4">
            <w:pPr>
              <w:pStyle w:val="ListParagraph"/>
              <w:spacing w:line="276" w:lineRule="auto"/>
              <w:rPr>
                <w:lang w:val="en-GB"/>
              </w:rPr>
            </w:pPr>
            <w:r w:rsidRPr="001B53D4">
              <w:rPr>
                <w:lang w:val="en-GB"/>
              </w:rPr>
              <w:t>Visitor limits, pollution control measures, continuous monitoring</w:t>
            </w:r>
          </w:p>
        </w:tc>
      </w:tr>
      <w:tr w:rsidR="001B53D4" w:rsidRPr="001B53D4" w14:paraId="07E3E4C8" w14:textId="77777777">
        <w:trPr>
          <w:tblCellSpacing w:w="15" w:type="dxa"/>
        </w:trPr>
        <w:tc>
          <w:tcPr>
            <w:tcW w:w="0" w:type="auto"/>
            <w:vAlign w:val="center"/>
            <w:hideMark/>
          </w:tcPr>
          <w:p w14:paraId="3F8C9FB1" w14:textId="77777777" w:rsidR="001B53D4" w:rsidRPr="001B53D4" w:rsidRDefault="001B53D4" w:rsidP="001B53D4">
            <w:pPr>
              <w:pStyle w:val="ListParagraph"/>
              <w:spacing w:line="276" w:lineRule="auto"/>
              <w:rPr>
                <w:lang w:val="en-GB"/>
              </w:rPr>
            </w:pPr>
            <w:r w:rsidRPr="001B53D4">
              <w:rPr>
                <w:lang w:val="en-GB"/>
              </w:rPr>
              <w:t>Charbagh Gardens</w:t>
            </w:r>
          </w:p>
        </w:tc>
        <w:tc>
          <w:tcPr>
            <w:tcW w:w="0" w:type="auto"/>
            <w:vAlign w:val="center"/>
            <w:hideMark/>
          </w:tcPr>
          <w:p w14:paraId="10D723E4" w14:textId="77777777" w:rsidR="001B53D4" w:rsidRPr="001B53D4" w:rsidRDefault="001B53D4" w:rsidP="001B53D4">
            <w:pPr>
              <w:pStyle w:val="ListParagraph"/>
              <w:spacing w:line="276" w:lineRule="auto"/>
              <w:rPr>
                <w:lang w:val="en-GB"/>
              </w:rPr>
            </w:pPr>
            <w:r w:rsidRPr="001B53D4">
              <w:rPr>
                <w:lang w:val="en-GB"/>
              </w:rPr>
              <w:t>Cultural landscape and aesthetic value</w:t>
            </w:r>
          </w:p>
        </w:tc>
        <w:tc>
          <w:tcPr>
            <w:tcW w:w="0" w:type="auto"/>
            <w:vAlign w:val="center"/>
            <w:hideMark/>
          </w:tcPr>
          <w:p w14:paraId="2888AC75" w14:textId="77777777" w:rsidR="001B53D4" w:rsidRPr="001B53D4" w:rsidRDefault="001B53D4" w:rsidP="001B53D4">
            <w:pPr>
              <w:pStyle w:val="ListParagraph"/>
              <w:spacing w:line="276" w:lineRule="auto"/>
              <w:rPr>
                <w:lang w:val="en-GB"/>
              </w:rPr>
            </w:pPr>
            <w:r w:rsidRPr="001B53D4">
              <w:rPr>
                <w:lang w:val="en-GB"/>
              </w:rPr>
              <w:t>High</w:t>
            </w:r>
          </w:p>
        </w:tc>
        <w:tc>
          <w:tcPr>
            <w:tcW w:w="0" w:type="auto"/>
            <w:vAlign w:val="center"/>
            <w:hideMark/>
          </w:tcPr>
          <w:p w14:paraId="1E4CDB0C" w14:textId="77777777" w:rsidR="001B53D4" w:rsidRPr="001B53D4" w:rsidRDefault="001B53D4" w:rsidP="001B53D4">
            <w:pPr>
              <w:pStyle w:val="ListParagraph"/>
              <w:spacing w:line="276" w:lineRule="auto"/>
              <w:rPr>
                <w:lang w:val="en-GB"/>
              </w:rPr>
            </w:pPr>
            <w:r w:rsidRPr="001B53D4">
              <w:rPr>
                <w:lang w:val="en-GB"/>
              </w:rPr>
              <w:t>Commercial facilities and excessive foot traffic</w:t>
            </w:r>
          </w:p>
        </w:tc>
        <w:tc>
          <w:tcPr>
            <w:tcW w:w="0" w:type="auto"/>
            <w:vAlign w:val="center"/>
            <w:hideMark/>
          </w:tcPr>
          <w:p w14:paraId="057C2D56" w14:textId="77777777" w:rsidR="001B53D4" w:rsidRPr="001B53D4" w:rsidRDefault="001B53D4" w:rsidP="001B53D4">
            <w:pPr>
              <w:pStyle w:val="ListParagraph"/>
              <w:spacing w:line="276" w:lineRule="auto"/>
              <w:rPr>
                <w:lang w:val="en-GB"/>
              </w:rPr>
            </w:pPr>
            <w:r w:rsidRPr="001B53D4">
              <w:rPr>
                <w:lang w:val="en-GB"/>
              </w:rPr>
              <w:t>Controlled visitor pathways and landscape conservation</w:t>
            </w:r>
          </w:p>
        </w:tc>
      </w:tr>
      <w:tr w:rsidR="001B53D4" w:rsidRPr="001B53D4" w14:paraId="1C9D5AAB" w14:textId="77777777">
        <w:trPr>
          <w:tblCellSpacing w:w="15" w:type="dxa"/>
        </w:trPr>
        <w:tc>
          <w:tcPr>
            <w:tcW w:w="0" w:type="auto"/>
            <w:vAlign w:val="center"/>
            <w:hideMark/>
          </w:tcPr>
          <w:p w14:paraId="4CCC8A66" w14:textId="77777777" w:rsidR="001B53D4" w:rsidRPr="001B53D4" w:rsidRDefault="001B53D4" w:rsidP="001B53D4">
            <w:pPr>
              <w:pStyle w:val="ListParagraph"/>
              <w:spacing w:line="276" w:lineRule="auto"/>
              <w:rPr>
                <w:lang w:val="en-GB"/>
              </w:rPr>
            </w:pPr>
            <w:r w:rsidRPr="001B53D4">
              <w:rPr>
                <w:lang w:val="en-GB"/>
              </w:rPr>
              <w:t>Marble Inlay Work</w:t>
            </w:r>
          </w:p>
        </w:tc>
        <w:tc>
          <w:tcPr>
            <w:tcW w:w="0" w:type="auto"/>
            <w:vAlign w:val="center"/>
            <w:hideMark/>
          </w:tcPr>
          <w:p w14:paraId="5DE6384E" w14:textId="77777777" w:rsidR="001B53D4" w:rsidRPr="001B53D4" w:rsidRDefault="001B53D4" w:rsidP="001B53D4">
            <w:pPr>
              <w:pStyle w:val="ListParagraph"/>
              <w:spacing w:line="276" w:lineRule="auto"/>
              <w:rPr>
                <w:lang w:val="en-GB"/>
              </w:rPr>
            </w:pPr>
            <w:r w:rsidRPr="001B53D4">
              <w:rPr>
                <w:lang w:val="en-GB"/>
              </w:rPr>
              <w:t>Craftsmanship and artistic heritage</w:t>
            </w:r>
          </w:p>
        </w:tc>
        <w:tc>
          <w:tcPr>
            <w:tcW w:w="0" w:type="auto"/>
            <w:vAlign w:val="center"/>
            <w:hideMark/>
          </w:tcPr>
          <w:p w14:paraId="640AEC97" w14:textId="77777777" w:rsidR="001B53D4" w:rsidRPr="001B53D4" w:rsidRDefault="001B53D4" w:rsidP="001B53D4">
            <w:pPr>
              <w:pStyle w:val="ListParagraph"/>
              <w:spacing w:line="276" w:lineRule="auto"/>
              <w:rPr>
                <w:lang w:val="en-GB"/>
              </w:rPr>
            </w:pPr>
            <w:r w:rsidRPr="001B53D4">
              <w:rPr>
                <w:lang w:val="en-GB"/>
              </w:rPr>
              <w:t>Very High</w:t>
            </w:r>
          </w:p>
        </w:tc>
        <w:tc>
          <w:tcPr>
            <w:tcW w:w="0" w:type="auto"/>
            <w:vAlign w:val="center"/>
            <w:hideMark/>
          </w:tcPr>
          <w:p w14:paraId="1223380C" w14:textId="77777777" w:rsidR="001B53D4" w:rsidRPr="001B53D4" w:rsidRDefault="001B53D4" w:rsidP="001B53D4">
            <w:pPr>
              <w:pStyle w:val="ListParagraph"/>
              <w:spacing w:line="276" w:lineRule="auto"/>
              <w:rPr>
                <w:lang w:val="en-GB"/>
              </w:rPr>
            </w:pPr>
            <w:r w:rsidRPr="001B53D4">
              <w:rPr>
                <w:lang w:val="en-GB"/>
              </w:rPr>
              <w:t>Surface deterioration, touching by visitors, pollution</w:t>
            </w:r>
          </w:p>
        </w:tc>
        <w:tc>
          <w:tcPr>
            <w:tcW w:w="0" w:type="auto"/>
            <w:vAlign w:val="center"/>
            <w:hideMark/>
          </w:tcPr>
          <w:p w14:paraId="6C29DA01" w14:textId="77777777" w:rsidR="001B53D4" w:rsidRPr="001B53D4" w:rsidRDefault="001B53D4" w:rsidP="001B53D4">
            <w:pPr>
              <w:pStyle w:val="ListParagraph"/>
              <w:spacing w:line="276" w:lineRule="auto"/>
              <w:rPr>
                <w:lang w:val="en-GB"/>
              </w:rPr>
            </w:pPr>
            <w:r w:rsidRPr="001B53D4">
              <w:rPr>
                <w:lang w:val="en-GB"/>
              </w:rPr>
              <w:t>Protective barriers, regular conservation treatments</w:t>
            </w:r>
          </w:p>
        </w:tc>
      </w:tr>
      <w:tr w:rsidR="001B53D4" w:rsidRPr="001B53D4" w14:paraId="0B6D2F88" w14:textId="77777777">
        <w:trPr>
          <w:tblCellSpacing w:w="15" w:type="dxa"/>
        </w:trPr>
        <w:tc>
          <w:tcPr>
            <w:tcW w:w="0" w:type="auto"/>
            <w:vAlign w:val="center"/>
            <w:hideMark/>
          </w:tcPr>
          <w:p w14:paraId="5BAC00CD" w14:textId="77777777" w:rsidR="001B53D4" w:rsidRPr="001B53D4" w:rsidRDefault="001B53D4" w:rsidP="001B53D4">
            <w:pPr>
              <w:pStyle w:val="ListParagraph"/>
              <w:spacing w:line="276" w:lineRule="auto"/>
              <w:rPr>
                <w:lang w:val="en-GB"/>
              </w:rPr>
            </w:pPr>
            <w:r w:rsidRPr="001B53D4">
              <w:rPr>
                <w:lang w:val="en-GB"/>
              </w:rPr>
              <w:lastRenderedPageBreak/>
              <w:t>Yamuna River Setting</w:t>
            </w:r>
          </w:p>
        </w:tc>
        <w:tc>
          <w:tcPr>
            <w:tcW w:w="0" w:type="auto"/>
            <w:vAlign w:val="center"/>
            <w:hideMark/>
          </w:tcPr>
          <w:p w14:paraId="70A79887" w14:textId="77777777" w:rsidR="001B53D4" w:rsidRPr="001B53D4" w:rsidRDefault="001B53D4" w:rsidP="001B53D4">
            <w:pPr>
              <w:pStyle w:val="ListParagraph"/>
              <w:spacing w:line="276" w:lineRule="auto"/>
              <w:rPr>
                <w:lang w:val="en-GB"/>
              </w:rPr>
            </w:pPr>
            <w:r w:rsidRPr="001B53D4">
              <w:rPr>
                <w:lang w:val="en-GB"/>
              </w:rPr>
              <w:t>Environmental and visual context of the monument</w:t>
            </w:r>
          </w:p>
        </w:tc>
        <w:tc>
          <w:tcPr>
            <w:tcW w:w="0" w:type="auto"/>
            <w:vAlign w:val="center"/>
            <w:hideMark/>
          </w:tcPr>
          <w:p w14:paraId="68936E00" w14:textId="77777777" w:rsidR="001B53D4" w:rsidRPr="001B53D4" w:rsidRDefault="001B53D4" w:rsidP="001B53D4">
            <w:pPr>
              <w:pStyle w:val="ListParagraph"/>
              <w:spacing w:line="276" w:lineRule="auto"/>
              <w:rPr>
                <w:lang w:val="en-GB"/>
              </w:rPr>
            </w:pPr>
            <w:r w:rsidRPr="001B53D4">
              <w:rPr>
                <w:lang w:val="en-GB"/>
              </w:rPr>
              <w:t>High</w:t>
            </w:r>
          </w:p>
        </w:tc>
        <w:tc>
          <w:tcPr>
            <w:tcW w:w="0" w:type="auto"/>
            <w:vAlign w:val="center"/>
            <w:hideMark/>
          </w:tcPr>
          <w:p w14:paraId="7AEFD2AF" w14:textId="77777777" w:rsidR="001B53D4" w:rsidRPr="001B53D4" w:rsidRDefault="001B53D4" w:rsidP="001B53D4">
            <w:pPr>
              <w:pStyle w:val="ListParagraph"/>
              <w:spacing w:line="276" w:lineRule="auto"/>
              <w:rPr>
                <w:lang w:val="en-GB"/>
              </w:rPr>
            </w:pPr>
            <w:r w:rsidRPr="001B53D4">
              <w:rPr>
                <w:lang w:val="en-GB"/>
              </w:rPr>
              <w:t>River pollution, urban expansion, reduced water levels</w:t>
            </w:r>
          </w:p>
        </w:tc>
        <w:tc>
          <w:tcPr>
            <w:tcW w:w="0" w:type="auto"/>
            <w:vAlign w:val="center"/>
            <w:hideMark/>
          </w:tcPr>
          <w:p w14:paraId="5D7277DD" w14:textId="77777777" w:rsidR="001B53D4" w:rsidRPr="001B53D4" w:rsidRDefault="001B53D4" w:rsidP="001B53D4">
            <w:pPr>
              <w:pStyle w:val="ListParagraph"/>
              <w:spacing w:line="276" w:lineRule="auto"/>
              <w:rPr>
                <w:lang w:val="en-GB"/>
              </w:rPr>
            </w:pPr>
            <w:r w:rsidRPr="001B53D4">
              <w:rPr>
                <w:lang w:val="en-GB"/>
              </w:rPr>
              <w:t>River restoration programs and development restrictions</w:t>
            </w:r>
          </w:p>
        </w:tc>
      </w:tr>
      <w:tr w:rsidR="001B53D4" w:rsidRPr="001B53D4" w14:paraId="020F4F2A" w14:textId="77777777">
        <w:trPr>
          <w:tblCellSpacing w:w="15" w:type="dxa"/>
        </w:trPr>
        <w:tc>
          <w:tcPr>
            <w:tcW w:w="0" w:type="auto"/>
            <w:vAlign w:val="center"/>
            <w:hideMark/>
          </w:tcPr>
          <w:p w14:paraId="76C52A80" w14:textId="77777777" w:rsidR="001B53D4" w:rsidRPr="001B53D4" w:rsidRDefault="001B53D4" w:rsidP="001B53D4">
            <w:pPr>
              <w:pStyle w:val="ListParagraph"/>
              <w:spacing w:line="276" w:lineRule="auto"/>
              <w:rPr>
                <w:lang w:val="en-GB"/>
              </w:rPr>
            </w:pPr>
            <w:r w:rsidRPr="001B53D4">
              <w:rPr>
                <w:lang w:val="en-GB"/>
              </w:rPr>
              <w:t>Entrance Gate and Forecourt</w:t>
            </w:r>
          </w:p>
        </w:tc>
        <w:tc>
          <w:tcPr>
            <w:tcW w:w="0" w:type="auto"/>
            <w:vAlign w:val="center"/>
            <w:hideMark/>
          </w:tcPr>
          <w:p w14:paraId="04FC7640" w14:textId="77777777" w:rsidR="001B53D4" w:rsidRPr="001B53D4" w:rsidRDefault="001B53D4" w:rsidP="001B53D4">
            <w:pPr>
              <w:pStyle w:val="ListParagraph"/>
              <w:spacing w:line="276" w:lineRule="auto"/>
              <w:rPr>
                <w:lang w:val="en-GB"/>
              </w:rPr>
            </w:pPr>
            <w:r w:rsidRPr="001B53D4">
              <w:rPr>
                <w:lang w:val="en-GB"/>
              </w:rPr>
              <w:t>Historical and ceremonial value</w:t>
            </w:r>
          </w:p>
        </w:tc>
        <w:tc>
          <w:tcPr>
            <w:tcW w:w="0" w:type="auto"/>
            <w:vAlign w:val="center"/>
            <w:hideMark/>
          </w:tcPr>
          <w:p w14:paraId="64513191" w14:textId="77777777" w:rsidR="001B53D4" w:rsidRPr="001B53D4" w:rsidRDefault="001B53D4" w:rsidP="001B53D4">
            <w:pPr>
              <w:pStyle w:val="ListParagraph"/>
              <w:spacing w:line="276" w:lineRule="auto"/>
              <w:rPr>
                <w:lang w:val="en-GB"/>
              </w:rPr>
            </w:pPr>
            <w:r w:rsidRPr="001B53D4">
              <w:rPr>
                <w:lang w:val="en-GB"/>
              </w:rPr>
              <w:t>High</w:t>
            </w:r>
          </w:p>
        </w:tc>
        <w:tc>
          <w:tcPr>
            <w:tcW w:w="0" w:type="auto"/>
            <w:vAlign w:val="center"/>
            <w:hideMark/>
          </w:tcPr>
          <w:p w14:paraId="19E769FC" w14:textId="77777777" w:rsidR="001B53D4" w:rsidRPr="001B53D4" w:rsidRDefault="001B53D4" w:rsidP="001B53D4">
            <w:pPr>
              <w:pStyle w:val="ListParagraph"/>
              <w:spacing w:line="276" w:lineRule="auto"/>
              <w:rPr>
                <w:lang w:val="en-GB"/>
              </w:rPr>
            </w:pPr>
            <w:r w:rsidRPr="001B53D4">
              <w:rPr>
                <w:lang w:val="en-GB"/>
              </w:rPr>
              <w:t>Traffic congestion and commercial encroachment</w:t>
            </w:r>
          </w:p>
        </w:tc>
        <w:tc>
          <w:tcPr>
            <w:tcW w:w="0" w:type="auto"/>
            <w:vAlign w:val="center"/>
            <w:hideMark/>
          </w:tcPr>
          <w:p w14:paraId="5DD9A802" w14:textId="77777777" w:rsidR="001B53D4" w:rsidRPr="001B53D4" w:rsidRDefault="001B53D4" w:rsidP="001B53D4">
            <w:pPr>
              <w:pStyle w:val="ListParagraph"/>
              <w:spacing w:line="276" w:lineRule="auto"/>
              <w:rPr>
                <w:lang w:val="en-GB"/>
              </w:rPr>
            </w:pPr>
            <w:r w:rsidRPr="001B53D4">
              <w:rPr>
                <w:lang w:val="en-GB"/>
              </w:rPr>
              <w:t>Heritage zoning regulations and pedestrian management</w:t>
            </w:r>
          </w:p>
        </w:tc>
      </w:tr>
    </w:tbl>
    <w:p w14:paraId="205CAA18" w14:textId="77777777" w:rsidR="001B53D4" w:rsidRPr="001B53D4" w:rsidRDefault="001B53D4" w:rsidP="001B53D4">
      <w:pPr>
        <w:pStyle w:val="ListParagraph"/>
        <w:spacing w:line="276" w:lineRule="auto"/>
        <w:rPr>
          <w:lang w:val="en-GB"/>
        </w:rPr>
      </w:pPr>
      <w:r w:rsidRPr="001B53D4">
        <w:rPr>
          <w:lang w:val="en-GB"/>
        </w:rPr>
        <w:t xml:space="preserve">The </w:t>
      </w:r>
      <w:r w:rsidRPr="001B53D4">
        <w:rPr>
          <w:b/>
          <w:bCs/>
          <w:lang w:val="en-GB"/>
        </w:rPr>
        <w:t>main mausoleum</w:t>
      </w:r>
      <w:r w:rsidRPr="001B53D4">
        <w:rPr>
          <w:lang w:val="en-GB"/>
        </w:rPr>
        <w:t xml:space="preserve"> is the most significant attribute because it embodies the Outstanding Universal Value of the Taj Mahal. Pollution from nearby industries and traffic can </w:t>
      </w:r>
      <w:proofErr w:type="spellStart"/>
      <w:r w:rsidRPr="001B53D4">
        <w:rPr>
          <w:lang w:val="en-GB"/>
        </w:rPr>
        <w:t>discolor</w:t>
      </w:r>
      <w:proofErr w:type="spellEnd"/>
      <w:r w:rsidRPr="001B53D4">
        <w:rPr>
          <w:lang w:val="en-GB"/>
        </w:rPr>
        <w:t xml:space="preserve"> the white marble and accelerate deterioration. The </w:t>
      </w:r>
      <w:r w:rsidRPr="001B53D4">
        <w:rPr>
          <w:b/>
          <w:bCs/>
          <w:lang w:val="en-GB"/>
        </w:rPr>
        <w:t>Charbagh gardens</w:t>
      </w:r>
      <w:r w:rsidRPr="001B53D4">
        <w:rPr>
          <w:lang w:val="en-GB"/>
        </w:rPr>
        <w:t xml:space="preserve"> contribute to the site's visual harmony and symbolic representation of paradise in Islamic architecture. Uncontrolled tourism can damage vegetation and alter the historic landscape.</w:t>
      </w:r>
    </w:p>
    <w:p w14:paraId="1DF6182A" w14:textId="77777777" w:rsidR="001B53D4" w:rsidRPr="001B53D4" w:rsidRDefault="001B53D4" w:rsidP="001B53D4">
      <w:pPr>
        <w:pStyle w:val="ListParagraph"/>
        <w:spacing w:line="276" w:lineRule="auto"/>
        <w:rPr>
          <w:lang w:val="en-GB"/>
        </w:rPr>
      </w:pPr>
      <w:r w:rsidRPr="001B53D4">
        <w:rPr>
          <w:lang w:val="en-GB"/>
        </w:rPr>
        <w:t xml:space="preserve">The intricate </w:t>
      </w:r>
      <w:r w:rsidRPr="001B53D4">
        <w:rPr>
          <w:b/>
          <w:bCs/>
          <w:lang w:val="en-GB"/>
        </w:rPr>
        <w:t>marble inlay work</w:t>
      </w:r>
      <w:r w:rsidRPr="001B53D4">
        <w:rPr>
          <w:lang w:val="en-GB"/>
        </w:rPr>
        <w:t xml:space="preserve"> represents exceptional craftsmanship and requires ongoing conservation due to environmental exposure and visitor pressure. The </w:t>
      </w:r>
      <w:r w:rsidRPr="001B53D4">
        <w:rPr>
          <w:b/>
          <w:bCs/>
          <w:lang w:val="en-GB"/>
        </w:rPr>
        <w:t>Yamuna River</w:t>
      </w:r>
      <w:r w:rsidRPr="001B53D4">
        <w:rPr>
          <w:lang w:val="en-GB"/>
        </w:rPr>
        <w:t xml:space="preserve"> forms an essential part of the monument’s historic setting; pollution and declining water levels threaten both the visual integrity and environmental sustainability of the site. Finally, the </w:t>
      </w:r>
      <w:r w:rsidRPr="001B53D4">
        <w:rPr>
          <w:b/>
          <w:bCs/>
          <w:lang w:val="en-GB"/>
        </w:rPr>
        <w:t>entrance gate and forecourt</w:t>
      </w:r>
      <w:r w:rsidRPr="001B53D4">
        <w:rPr>
          <w:lang w:val="en-GB"/>
        </w:rPr>
        <w:t xml:space="preserve"> provide the ceremonial approach to the monument and are vulnerable to congestion and inappropriate commercial activities.</w:t>
      </w:r>
    </w:p>
    <w:p w14:paraId="0509CBA4" w14:textId="77777777" w:rsidR="001B53D4" w:rsidRPr="001B53D4" w:rsidRDefault="001B53D4" w:rsidP="001B53D4">
      <w:pPr>
        <w:pStyle w:val="ListParagraph"/>
        <w:spacing w:line="276" w:lineRule="auto"/>
        <w:rPr>
          <w:lang w:val="en-GB"/>
        </w:rPr>
      </w:pPr>
      <w:r w:rsidRPr="001B53D4">
        <w:rPr>
          <w:lang w:val="en-GB"/>
        </w:rPr>
        <w:t>To protect these attributes, heritage managers should implement Heritage Impact Assessments, strengthen environmental regulations, improve visitor management systems, and establish protective buffer zones. Community engagement and sustainable tourism policies can further ensure that economic benefits do not compromise the site's cultural significance.</w:t>
      </w:r>
    </w:p>
    <w:p w14:paraId="63D617E3" w14:textId="77777777" w:rsidR="001B53D4" w:rsidRPr="001B53D4" w:rsidRDefault="001B53D4" w:rsidP="001B53D4">
      <w:pPr>
        <w:pStyle w:val="ListParagraph"/>
        <w:spacing w:line="276" w:lineRule="auto"/>
        <w:rPr>
          <w:lang w:val="en-GB"/>
        </w:rPr>
      </w:pPr>
      <w:r w:rsidRPr="001B53D4">
        <w:rPr>
          <w:lang w:val="en-GB"/>
        </w:rPr>
        <w:lastRenderedPageBreak/>
        <w:t>Overall, preserving the Taj Mahal requires balancing tourism, urban development, and environmental conservation while safeguarding the attributes that convey its Outstanding Universal Value.</w:t>
      </w:r>
    </w:p>
    <w:p w14:paraId="275F39FB" w14:textId="77777777" w:rsidR="001B53D4" w:rsidRPr="001B53D4" w:rsidRDefault="001B53D4" w:rsidP="001B53D4">
      <w:pPr>
        <w:pStyle w:val="ListParagraph"/>
        <w:spacing w:line="276" w:lineRule="auto"/>
        <w:rPr>
          <w:b/>
          <w:bCs/>
          <w:lang w:val="en-GB"/>
        </w:rPr>
      </w:pPr>
      <w:r w:rsidRPr="001B53D4">
        <w:rPr>
          <w:b/>
          <w:bCs/>
          <w:lang w:val="en-GB"/>
        </w:rPr>
        <w:t>References</w:t>
      </w:r>
    </w:p>
    <w:p w14:paraId="0B4015D9" w14:textId="77777777" w:rsidR="001B53D4" w:rsidRPr="001B53D4" w:rsidRDefault="001B53D4" w:rsidP="001B53D4">
      <w:pPr>
        <w:pStyle w:val="ListParagraph"/>
        <w:spacing w:line="276" w:lineRule="auto"/>
        <w:rPr>
          <w:lang w:val="en-GB"/>
        </w:rPr>
      </w:pPr>
      <w:proofErr w:type="spellStart"/>
      <w:r w:rsidRPr="001B53D4">
        <w:rPr>
          <w:lang w:val="en-GB"/>
        </w:rPr>
        <w:t>Labadi</w:t>
      </w:r>
      <w:proofErr w:type="spellEnd"/>
      <w:r w:rsidRPr="001B53D4">
        <w:rPr>
          <w:lang w:val="en-GB"/>
        </w:rPr>
        <w:t xml:space="preserve">, S. (2013). UNESCO, Cultural Heritage and Outstanding Universal Value. </w:t>
      </w:r>
      <w:proofErr w:type="spellStart"/>
      <w:r w:rsidRPr="001B53D4">
        <w:rPr>
          <w:i/>
          <w:iCs/>
          <w:lang w:val="en-GB"/>
        </w:rPr>
        <w:t>AltaMira</w:t>
      </w:r>
      <w:proofErr w:type="spellEnd"/>
      <w:r w:rsidRPr="001B53D4">
        <w:rPr>
          <w:i/>
          <w:iCs/>
          <w:lang w:val="en-GB"/>
        </w:rPr>
        <w:t xml:space="preserve"> Press</w:t>
      </w:r>
      <w:r w:rsidRPr="001B53D4">
        <w:rPr>
          <w:lang w:val="en-GB"/>
        </w:rPr>
        <w:t>. DOI: 10.4324/9780203096647</w:t>
      </w:r>
    </w:p>
    <w:p w14:paraId="3492DA22" w14:textId="77777777" w:rsidR="001B53D4" w:rsidRPr="001B53D4" w:rsidRDefault="001B53D4" w:rsidP="001B53D4">
      <w:pPr>
        <w:pStyle w:val="ListParagraph"/>
        <w:spacing w:line="276" w:lineRule="auto"/>
        <w:rPr>
          <w:lang w:val="en-GB"/>
        </w:rPr>
      </w:pPr>
      <w:proofErr w:type="spellStart"/>
      <w:r w:rsidRPr="001B53D4">
        <w:rPr>
          <w:lang w:val="en-GB"/>
        </w:rPr>
        <w:t>Patiwael</w:t>
      </w:r>
      <w:proofErr w:type="spellEnd"/>
      <w:r w:rsidRPr="001B53D4">
        <w:rPr>
          <w:lang w:val="en-GB"/>
        </w:rPr>
        <w:t xml:space="preserve">, P. R., Groote, P., &amp; </w:t>
      </w:r>
      <w:proofErr w:type="spellStart"/>
      <w:r w:rsidRPr="001B53D4">
        <w:rPr>
          <w:lang w:val="en-GB"/>
        </w:rPr>
        <w:t>Vanclay</w:t>
      </w:r>
      <w:proofErr w:type="spellEnd"/>
      <w:r w:rsidRPr="001B53D4">
        <w:rPr>
          <w:lang w:val="en-GB"/>
        </w:rPr>
        <w:t xml:space="preserve">, F. (2019). Improving heritage impact assessment: An analytical critique of the ICOMOS guidelines. </w:t>
      </w:r>
      <w:r w:rsidRPr="001B53D4">
        <w:rPr>
          <w:i/>
          <w:iCs/>
          <w:lang w:val="en-GB"/>
        </w:rPr>
        <w:t>International Journal of Heritage Studies, 25</w:t>
      </w:r>
      <w:r w:rsidRPr="001B53D4">
        <w:rPr>
          <w:lang w:val="en-GB"/>
        </w:rPr>
        <w:t xml:space="preserve">(4), 333–347. </w:t>
      </w:r>
      <w:hyperlink r:id="rId10" w:tgtFrame="_new" w:history="1">
        <w:r w:rsidRPr="001B53D4">
          <w:rPr>
            <w:rStyle w:val="Hyperlink"/>
            <w:lang w:val="en-GB"/>
          </w:rPr>
          <w:t>https://doi.org/10.1080/13527258.2018.1477057</w:t>
        </w:r>
      </w:hyperlink>
    </w:p>
    <w:p w14:paraId="00C71BF4" w14:textId="77777777" w:rsidR="001B53D4" w:rsidRPr="001B53D4" w:rsidRDefault="001B53D4" w:rsidP="001B53D4">
      <w:pPr>
        <w:pStyle w:val="ListParagraph"/>
        <w:spacing w:line="276" w:lineRule="auto"/>
        <w:rPr>
          <w:b/>
          <w:bCs/>
          <w:lang w:val="en-GB"/>
        </w:rPr>
      </w:pPr>
      <w:r w:rsidRPr="001B53D4">
        <w:rPr>
          <w:b/>
          <w:bCs/>
          <w:lang w:val="en-GB"/>
        </w:rPr>
        <w:t>Website References</w:t>
      </w:r>
    </w:p>
    <w:p w14:paraId="71880BB2" w14:textId="77777777" w:rsidR="001B53D4" w:rsidRPr="001B53D4" w:rsidRDefault="001B53D4" w:rsidP="001B53D4">
      <w:pPr>
        <w:pStyle w:val="ListParagraph"/>
        <w:spacing w:line="276" w:lineRule="auto"/>
        <w:rPr>
          <w:lang w:val="en-GB"/>
        </w:rPr>
      </w:pPr>
      <w:r w:rsidRPr="001B53D4">
        <w:rPr>
          <w:lang w:val="en-GB"/>
        </w:rPr>
        <w:t xml:space="preserve">UNESCO World Heritage Centre. </w:t>
      </w:r>
      <w:r w:rsidRPr="001B53D4">
        <w:rPr>
          <w:i/>
          <w:iCs/>
          <w:lang w:val="en-GB"/>
        </w:rPr>
        <w:t>Taj Mahal</w:t>
      </w:r>
      <w:r w:rsidRPr="001B53D4">
        <w:rPr>
          <w:lang w:val="en-GB"/>
        </w:rPr>
        <w:t xml:space="preserve">. </w:t>
      </w:r>
      <w:hyperlink r:id="rId11" w:tgtFrame="_new" w:history="1">
        <w:r w:rsidRPr="001B53D4">
          <w:rPr>
            <w:rStyle w:val="Hyperlink"/>
            <w:lang w:val="en-GB"/>
          </w:rPr>
          <w:t>https://whc.unesco.org/en/list/252/</w:t>
        </w:r>
      </w:hyperlink>
    </w:p>
    <w:p w14:paraId="0B35A461" w14:textId="77777777" w:rsidR="001B53D4" w:rsidRPr="001B53D4" w:rsidRDefault="001B53D4" w:rsidP="001B53D4">
      <w:pPr>
        <w:pStyle w:val="ListParagraph"/>
        <w:spacing w:line="276" w:lineRule="auto"/>
        <w:rPr>
          <w:lang w:val="en-GB"/>
        </w:rPr>
      </w:pPr>
      <w:r w:rsidRPr="001B53D4">
        <w:rPr>
          <w:lang w:val="en-GB"/>
        </w:rPr>
        <w:t xml:space="preserve">Archaeological Survey of India. </w:t>
      </w:r>
      <w:r w:rsidRPr="001B53D4">
        <w:rPr>
          <w:i/>
          <w:iCs/>
          <w:lang w:val="en-GB"/>
        </w:rPr>
        <w:t>Taj Mahal Conservation Information</w:t>
      </w:r>
      <w:r w:rsidRPr="001B53D4">
        <w:rPr>
          <w:lang w:val="en-GB"/>
        </w:rPr>
        <w:t xml:space="preserve">. </w:t>
      </w:r>
      <w:hyperlink r:id="rId12" w:tgtFrame="_new" w:history="1">
        <w:r w:rsidRPr="001B53D4">
          <w:rPr>
            <w:rStyle w:val="Hyperlink"/>
            <w:lang w:val="en-GB"/>
          </w:rPr>
          <w:t>https://asi.nic.in</w:t>
        </w:r>
      </w:hyperlink>
    </w:p>
    <w:p w14:paraId="23EFCDDE" w14:textId="77777777" w:rsidR="001B53D4" w:rsidRPr="001B53D4" w:rsidRDefault="001B53D4" w:rsidP="001B53D4">
      <w:pPr>
        <w:pStyle w:val="ListParagraph"/>
        <w:spacing w:line="276" w:lineRule="auto"/>
        <w:rPr>
          <w:lang w:val="en-GB"/>
        </w:rPr>
      </w:pPr>
      <w:r w:rsidRPr="001B53D4">
        <w:rPr>
          <w:lang w:val="en-GB"/>
        </w:rPr>
        <w:t xml:space="preserve">ICOMOS. </w:t>
      </w:r>
      <w:r w:rsidRPr="001B53D4">
        <w:rPr>
          <w:i/>
          <w:iCs/>
          <w:lang w:val="en-GB"/>
        </w:rPr>
        <w:t>Heritage Impact Assessment Guidance</w:t>
      </w:r>
      <w:r w:rsidRPr="001B53D4">
        <w:rPr>
          <w:lang w:val="en-GB"/>
        </w:rPr>
        <w:t xml:space="preserve">. </w:t>
      </w:r>
      <w:hyperlink r:id="rId13" w:tgtFrame="_new" w:history="1">
        <w:r w:rsidRPr="001B53D4">
          <w:rPr>
            <w:rStyle w:val="Hyperlink"/>
            <w:lang w:val="en-GB"/>
          </w:rPr>
          <w:t>https://www.icomos.org</w:t>
        </w:r>
      </w:hyperlink>
    </w:p>
    <w:p w14:paraId="41B99311" w14:textId="77777777" w:rsidR="001B53D4" w:rsidRPr="001B53D4" w:rsidRDefault="001B53D4" w:rsidP="001B53D4">
      <w:pPr>
        <w:pStyle w:val="ListParagraph"/>
        <w:spacing w:line="276" w:lineRule="auto"/>
        <w:rPr>
          <w:lang w:val="en-GB"/>
        </w:rPr>
      </w:pPr>
      <w:r w:rsidRPr="001B53D4">
        <w:rPr>
          <w:lang w:val="en-GB"/>
        </w:rPr>
        <w:t xml:space="preserve">UNESCO. </w:t>
      </w:r>
      <w:r w:rsidRPr="001B53D4">
        <w:rPr>
          <w:i/>
          <w:iCs/>
          <w:lang w:val="en-GB"/>
        </w:rPr>
        <w:t>World Heritage Sustainable Tourism Programme</w:t>
      </w:r>
      <w:r w:rsidRPr="001B53D4">
        <w:rPr>
          <w:lang w:val="en-GB"/>
        </w:rPr>
        <w:t xml:space="preserve">. </w:t>
      </w:r>
      <w:hyperlink r:id="rId14" w:tgtFrame="_new" w:history="1">
        <w:r w:rsidRPr="001B53D4">
          <w:rPr>
            <w:rStyle w:val="Hyperlink"/>
            <w:lang w:val="en-GB"/>
          </w:rPr>
          <w:t>https://whc.unesco.org/en/tourism/</w:t>
        </w:r>
      </w:hyperlink>
    </w:p>
    <w:p w14:paraId="184185C5" w14:textId="77777777" w:rsidR="001B53D4" w:rsidRPr="005E1FD5" w:rsidRDefault="001B53D4" w:rsidP="001B53D4">
      <w:pPr>
        <w:pStyle w:val="ListParagraph"/>
        <w:spacing w:line="276" w:lineRule="auto"/>
        <w:ind w:left="0"/>
        <w:rPr>
          <w:lang w:val="en-US"/>
        </w:rPr>
      </w:pPr>
    </w:p>
    <w:sectPr w:rsidR="001B53D4" w:rsidRPr="005E1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AB9A9E5-5785-453A-A8F6-9F9C5B6DF3E4}"/>
    <w:embedBold r:id="rId2" w:fontKey="{2A90671D-AE65-4A38-8CC3-83F5122E72A0}"/>
    <w:embedItalic r:id="rId3" w:fontKey="{F2FB72A3-7CDA-4EF0-80F4-031C50828CE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10ED80B-8055-43A0-985F-C6F510B4E046}"/>
  </w:font>
  <w:font w:name="Calibri Light">
    <w:panose1 w:val="020F0302020204030204"/>
    <w:charset w:val="00"/>
    <w:family w:val="swiss"/>
    <w:pitch w:val="variable"/>
    <w:sig w:usb0="E4002EFF" w:usb1="C000247B" w:usb2="00000009" w:usb3="00000000" w:csb0="000001FF" w:csb1="00000000"/>
    <w:embedRegular r:id="rId5" w:fontKey="{B2F5EADA-6501-4F9A-B9D6-5A6F9BF0298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8"/>
  </w:num>
  <w:num w:numId="3" w16cid:durableId="1544052912">
    <w:abstractNumId w:val="0"/>
  </w:num>
  <w:num w:numId="4" w16cid:durableId="746540664">
    <w:abstractNumId w:val="1"/>
  </w:num>
  <w:num w:numId="5" w16cid:durableId="1108088842">
    <w:abstractNumId w:val="3"/>
  </w:num>
  <w:num w:numId="6" w16cid:durableId="1713579031">
    <w:abstractNumId w:val="7"/>
  </w:num>
  <w:num w:numId="7" w16cid:durableId="612253008">
    <w:abstractNumId w:val="6"/>
  </w:num>
  <w:num w:numId="8" w16cid:durableId="314267375">
    <w:abstractNumId w:val="4"/>
  </w:num>
  <w:num w:numId="9" w16cid:durableId="3274439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53D4"/>
    <w:rsid w:val="00224FD9"/>
    <w:rsid w:val="002F4AE0"/>
    <w:rsid w:val="00384E8A"/>
    <w:rsid w:val="003D1074"/>
    <w:rsid w:val="00426865"/>
    <w:rsid w:val="00477CAA"/>
    <w:rsid w:val="00502E29"/>
    <w:rsid w:val="005E1FD5"/>
    <w:rsid w:val="005E458B"/>
    <w:rsid w:val="00672345"/>
    <w:rsid w:val="00705037"/>
    <w:rsid w:val="007C7917"/>
    <w:rsid w:val="00844EC2"/>
    <w:rsid w:val="008516FE"/>
    <w:rsid w:val="00942251"/>
    <w:rsid w:val="009C1D0A"/>
    <w:rsid w:val="00A044F7"/>
    <w:rsid w:val="00A057BE"/>
    <w:rsid w:val="00A8150E"/>
    <w:rsid w:val="00B20343"/>
    <w:rsid w:val="00B85EA7"/>
    <w:rsid w:val="00BE65DD"/>
    <w:rsid w:val="00C063B8"/>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C8D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B53D4"/>
    <w:rPr>
      <w:color w:val="0563C1" w:themeColor="hyperlink"/>
      <w:u w:val="single"/>
    </w:rPr>
  </w:style>
  <w:style w:type="character" w:styleId="UnresolvedMention">
    <w:name w:val="Unresolved Mention"/>
    <w:basedOn w:val="DefaultParagraphFont"/>
    <w:uiPriority w:val="99"/>
    <w:semiHidden/>
    <w:unhideWhenUsed/>
    <w:rsid w:val="001B5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 TargetMode="External"/><Relationship Id="rId13" Type="http://schemas.openxmlformats.org/officeDocument/2006/relationships/hyperlink" Target="https://www.icomos.org" TargetMode="External"/><Relationship Id="rId3" Type="http://schemas.openxmlformats.org/officeDocument/2006/relationships/settings" Target="settings.xml"/><Relationship Id="rId7" Type="http://schemas.openxmlformats.org/officeDocument/2006/relationships/hyperlink" Target="https://doi.org/10.1080/13527250903441671" TargetMode="External"/><Relationship Id="rId12" Type="http://schemas.openxmlformats.org/officeDocument/2006/relationships/hyperlink" Target="https://asi.nic.i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80/13527258.2016.1171247" TargetMode="External"/><Relationship Id="rId11" Type="http://schemas.openxmlformats.org/officeDocument/2006/relationships/hyperlink" Target="https://whc.unesco.org/en/list/252/"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doi.org/10.1080/13527258.2018.1477057" TargetMode="External"/><Relationship Id="rId4" Type="http://schemas.openxmlformats.org/officeDocument/2006/relationships/webSettings" Target="webSettings.xml"/><Relationship Id="rId9" Type="http://schemas.openxmlformats.org/officeDocument/2006/relationships/hyperlink" Target="https://www.icomos.org" TargetMode="External"/><Relationship Id="rId14" Type="http://schemas.openxmlformats.org/officeDocument/2006/relationships/hyperlink" Target="https://whc.unesco.org/en/touris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1165</Words>
  <Characters>6643</Characters>
  <Application>Microsoft Office Word</Application>
  <DocSecurity>0</DocSecurity>
  <Lines>55</Lines>
  <Paragraphs>15</Paragraphs>
  <ScaleCrop>false</ScaleCrop>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2026-06-16T15:18:00Z</dcterms:created>
  <dcterms:modified xsi:type="dcterms:W3CDTF">2026-06-16T15:18:00Z</dcterms:modified>
</cp:coreProperties>
</file>