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2C15B"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E00CBDF" w14:textId="77777777" w:rsidR="00672345" w:rsidRPr="0019504D" w:rsidRDefault="003C5D74" w:rsidP="00672345">
      <w:pPr>
        <w:rPr>
          <w:b/>
          <w:bCs/>
          <w:lang w:val="en-US"/>
        </w:rPr>
      </w:pPr>
      <w:r>
        <w:rPr>
          <w:b/>
          <w:bCs/>
          <w:lang w:val="en-US"/>
        </w:rPr>
        <w:t>Structure of Tourism Markets</w:t>
      </w:r>
    </w:p>
    <w:p w14:paraId="2F9A281E" w14:textId="77777777" w:rsidR="00672345" w:rsidRDefault="00672345" w:rsidP="00672345">
      <w:pPr>
        <w:rPr>
          <w:lang w:val="en-US"/>
        </w:rPr>
      </w:pPr>
      <w:r w:rsidRPr="0019504D">
        <w:rPr>
          <w:lang w:val="en-US"/>
        </w:rPr>
        <w:t>Ass</w:t>
      </w:r>
      <w:r>
        <w:rPr>
          <w:lang w:val="en-US"/>
        </w:rPr>
        <w:t xml:space="preserve">ignment </w:t>
      </w:r>
      <w:r w:rsidR="00762633">
        <w:rPr>
          <w:lang w:val="en-US"/>
        </w:rPr>
        <w:t>3</w:t>
      </w:r>
    </w:p>
    <w:p w14:paraId="4801D559" w14:textId="77777777" w:rsidR="00672345" w:rsidRPr="0019504D" w:rsidRDefault="00AA76A1" w:rsidP="00672345">
      <w:pPr>
        <w:rPr>
          <w:lang w:val="en-US"/>
        </w:rPr>
      </w:pPr>
      <w:r>
        <w:rPr>
          <w:lang w:val="en-US"/>
        </w:rPr>
        <w:t>23</w:t>
      </w:r>
      <w:r w:rsidR="00672345">
        <w:rPr>
          <w:lang w:val="en-US"/>
        </w:rPr>
        <w:t>.0</w:t>
      </w:r>
      <w:r w:rsidR="0017025C">
        <w:rPr>
          <w:lang w:val="en-US"/>
        </w:rPr>
        <w:t>9</w:t>
      </w:r>
      <w:r w:rsidR="00672345">
        <w:rPr>
          <w:lang w:val="en-US"/>
        </w:rPr>
        <w:t>.2026</w:t>
      </w:r>
    </w:p>
    <w:p w14:paraId="096297FE" w14:textId="77777777" w:rsidR="00672345" w:rsidRDefault="00672345"/>
    <w:p w14:paraId="266DAAE4" w14:textId="77777777" w:rsidR="00672345" w:rsidRDefault="00672345"/>
    <w:p w14:paraId="5841A878" w14:textId="77777777" w:rsidR="00672345" w:rsidRDefault="00672345"/>
    <w:p w14:paraId="69E8F3E9" w14:textId="77777777" w:rsidR="00672345" w:rsidRDefault="00672345"/>
    <w:p w14:paraId="28E21633" w14:textId="77777777" w:rsidR="00672345" w:rsidRDefault="00672345"/>
    <w:p w14:paraId="047A733B" w14:textId="77777777" w:rsidR="00672345" w:rsidRDefault="00672345"/>
    <w:p w14:paraId="68A34399" w14:textId="77777777" w:rsidR="00672345" w:rsidRDefault="00672345"/>
    <w:p w14:paraId="5A652204" w14:textId="77777777" w:rsidR="00672345" w:rsidRDefault="00672345"/>
    <w:p w14:paraId="74D6E0B2" w14:textId="77777777" w:rsidR="00672345" w:rsidRDefault="00672345"/>
    <w:p w14:paraId="7277066B" w14:textId="77777777" w:rsidR="00672345" w:rsidRDefault="00672345"/>
    <w:p w14:paraId="5B3E3D84" w14:textId="77777777" w:rsidR="00672345" w:rsidRDefault="00672345"/>
    <w:p w14:paraId="7DCADA86" w14:textId="77777777" w:rsidR="00672345" w:rsidRDefault="00672345"/>
    <w:p w14:paraId="6A2E4442" w14:textId="77777777" w:rsidR="00672345" w:rsidRDefault="00672345"/>
    <w:p w14:paraId="0BFD824E" w14:textId="77777777" w:rsidR="00672345" w:rsidRDefault="00672345" w:rsidP="00672345">
      <w:pPr>
        <w:spacing w:line="276" w:lineRule="auto"/>
        <w:rPr>
          <w:b/>
          <w:bCs/>
          <w:lang w:val="en-US"/>
        </w:rPr>
      </w:pPr>
      <w:r w:rsidRPr="00EA737F">
        <w:rPr>
          <w:b/>
          <w:bCs/>
          <w:lang w:val="en-US"/>
        </w:rPr>
        <w:t>In no more than 500 words</w:t>
      </w:r>
      <w:r>
        <w:rPr>
          <w:b/>
          <w:bCs/>
          <w:lang w:val="en-US"/>
        </w:rPr>
        <w:t xml:space="preserve"> each</w:t>
      </w:r>
      <w:r w:rsidR="0017025C">
        <w:rPr>
          <w:b/>
          <w:bCs/>
          <w:lang w:val="en-US"/>
        </w:rPr>
        <w:t>,</w:t>
      </w:r>
      <w:r>
        <w:rPr>
          <w:b/>
          <w:bCs/>
          <w:lang w:val="en-US"/>
        </w:rPr>
        <w:t xml:space="preserve"> explain:</w:t>
      </w:r>
    </w:p>
    <w:p w14:paraId="177C9426" w14:textId="77777777" w:rsidR="00672345" w:rsidRPr="00EA737F" w:rsidRDefault="00672345" w:rsidP="00672345">
      <w:pPr>
        <w:spacing w:line="276" w:lineRule="auto"/>
        <w:rPr>
          <w:b/>
          <w:bCs/>
          <w:lang w:val="en-US"/>
        </w:rPr>
      </w:pPr>
    </w:p>
    <w:p w14:paraId="214C36EB" w14:textId="77777777" w:rsidR="00672345" w:rsidRDefault="00672345" w:rsidP="00672345">
      <w:pPr>
        <w:spacing w:line="276" w:lineRule="auto"/>
        <w:rPr>
          <w:lang w:val="en-US"/>
        </w:rPr>
      </w:pPr>
    </w:p>
    <w:p w14:paraId="03E3A94B" w14:textId="77777777" w:rsidR="00AA76A1" w:rsidRDefault="00AA76A1" w:rsidP="00AA76A1">
      <w:pPr>
        <w:jc w:val="both"/>
        <w:rPr>
          <w:b/>
          <w:bCs/>
          <w:lang w:val="en-US"/>
        </w:rPr>
      </w:pPr>
      <w:r w:rsidRPr="00AA76A1">
        <w:rPr>
          <w:b/>
          <w:bCs/>
          <w:lang w:val="en-US"/>
        </w:rPr>
        <w:t xml:space="preserve">Select a tourist attraction, heritage site, protected area, museum, or destination and </w:t>
      </w:r>
      <w:proofErr w:type="spellStart"/>
      <w:r w:rsidRPr="00AA76A1">
        <w:rPr>
          <w:b/>
          <w:bCs/>
          <w:lang w:val="en-US"/>
        </w:rPr>
        <w:t>analyse</w:t>
      </w:r>
      <w:proofErr w:type="spellEnd"/>
      <w:r w:rsidRPr="00AA76A1">
        <w:rPr>
          <w:b/>
          <w:bCs/>
          <w:lang w:val="en-US"/>
        </w:rPr>
        <w:t xml:space="preserve"> how visitors are currently managed.</w:t>
      </w:r>
    </w:p>
    <w:p w14:paraId="4FE26681" w14:textId="77777777" w:rsidR="00AA76A1" w:rsidRPr="00AA76A1" w:rsidRDefault="00AA76A1" w:rsidP="00AA76A1">
      <w:pPr>
        <w:jc w:val="both"/>
        <w:rPr>
          <w:b/>
          <w:bCs/>
          <w:lang w:val="en-US"/>
        </w:rPr>
      </w:pPr>
    </w:p>
    <w:p w14:paraId="3B834EE9" w14:textId="77777777" w:rsidR="00AA76A1" w:rsidRPr="00AA76A1" w:rsidRDefault="00AA76A1" w:rsidP="00AA76A1">
      <w:pPr>
        <w:jc w:val="both"/>
        <w:rPr>
          <w:b/>
          <w:bCs/>
          <w:lang w:val="en-US"/>
        </w:rPr>
      </w:pPr>
      <w:r w:rsidRPr="00AA76A1">
        <w:rPr>
          <w:b/>
          <w:bCs/>
          <w:lang w:val="en-US"/>
        </w:rPr>
        <w:t>Address the following:</w:t>
      </w:r>
    </w:p>
    <w:p w14:paraId="377717A3" w14:textId="77777777" w:rsidR="00AA76A1" w:rsidRPr="00AA76A1" w:rsidRDefault="00AA76A1" w:rsidP="00AA76A1">
      <w:pPr>
        <w:pStyle w:val="ListParagraph"/>
        <w:numPr>
          <w:ilvl w:val="0"/>
          <w:numId w:val="4"/>
        </w:numPr>
        <w:jc w:val="both"/>
        <w:rPr>
          <w:lang w:val="en-US"/>
        </w:rPr>
      </w:pPr>
      <w:r w:rsidRPr="00AA76A1">
        <w:rPr>
          <w:lang w:val="en-US"/>
        </w:rPr>
        <w:t>Visitor Management</w:t>
      </w:r>
    </w:p>
    <w:p w14:paraId="6ED29DA1" w14:textId="77777777" w:rsidR="00AA76A1" w:rsidRPr="00AA76A1" w:rsidRDefault="00AA76A1" w:rsidP="00AA76A1">
      <w:pPr>
        <w:pStyle w:val="ListParagraph"/>
        <w:numPr>
          <w:ilvl w:val="0"/>
          <w:numId w:val="4"/>
        </w:numPr>
        <w:jc w:val="both"/>
        <w:rPr>
          <w:lang w:val="en-US"/>
        </w:rPr>
      </w:pPr>
      <w:r w:rsidRPr="00AA76A1">
        <w:rPr>
          <w:lang w:val="en-US"/>
        </w:rPr>
        <w:t>Briefly introduce the selected site.</w:t>
      </w:r>
    </w:p>
    <w:p w14:paraId="20F62C64" w14:textId="77777777" w:rsidR="00AA76A1" w:rsidRPr="00AA76A1" w:rsidRDefault="00AA76A1" w:rsidP="00AA76A1">
      <w:pPr>
        <w:pStyle w:val="ListParagraph"/>
        <w:numPr>
          <w:ilvl w:val="0"/>
          <w:numId w:val="4"/>
        </w:numPr>
        <w:jc w:val="both"/>
        <w:rPr>
          <w:lang w:val="en-US"/>
        </w:rPr>
      </w:pPr>
      <w:r w:rsidRPr="00AA76A1">
        <w:rPr>
          <w:lang w:val="en-US"/>
        </w:rPr>
        <w:t>Identify the main visitor management challenges.</w:t>
      </w:r>
    </w:p>
    <w:p w14:paraId="1F11B865" w14:textId="77777777" w:rsidR="0017025C" w:rsidRPr="009E0599" w:rsidRDefault="00AA76A1" w:rsidP="00AA76A1">
      <w:pPr>
        <w:pStyle w:val="ListParagraph"/>
        <w:numPr>
          <w:ilvl w:val="0"/>
          <w:numId w:val="4"/>
        </w:numPr>
        <w:jc w:val="both"/>
        <w:rPr>
          <w:b/>
          <w:bCs/>
        </w:rPr>
      </w:pPr>
      <w:r w:rsidRPr="00AA76A1">
        <w:rPr>
          <w:lang w:val="en-US"/>
        </w:rPr>
        <w:t>Explain the potential impacts of visitors on the site, local community, and visitor experience.</w:t>
      </w:r>
    </w:p>
    <w:p w14:paraId="6F3929A7" w14:textId="77777777" w:rsidR="009E0599" w:rsidRDefault="009E0599" w:rsidP="009E0599">
      <w:pPr>
        <w:pStyle w:val="ListParagraph"/>
        <w:jc w:val="both"/>
        <w:rPr>
          <w:lang w:val="en-US"/>
        </w:rPr>
      </w:pPr>
    </w:p>
    <w:p w14:paraId="364B9256" w14:textId="77777777" w:rsidR="009E0599" w:rsidRDefault="009E0599" w:rsidP="009E0599">
      <w:pPr>
        <w:pStyle w:val="ListParagraph"/>
        <w:jc w:val="both"/>
        <w:rPr>
          <w:lang w:val="en-US"/>
        </w:rPr>
      </w:pPr>
    </w:p>
    <w:p w14:paraId="1CBD2327" w14:textId="77777777" w:rsidR="009E0599" w:rsidRDefault="009E0599" w:rsidP="009E0599">
      <w:pPr>
        <w:pStyle w:val="ListParagraph"/>
        <w:jc w:val="both"/>
        <w:rPr>
          <w:lang w:val="en-US"/>
        </w:rPr>
      </w:pPr>
    </w:p>
    <w:p w14:paraId="036DF383" w14:textId="77777777" w:rsidR="009E0599" w:rsidRDefault="009E0599" w:rsidP="009E0599">
      <w:pPr>
        <w:pStyle w:val="ListParagraph"/>
        <w:ind w:left="0"/>
        <w:jc w:val="both"/>
        <w:rPr>
          <w:lang w:val="en-US"/>
        </w:rPr>
      </w:pPr>
    </w:p>
    <w:p w14:paraId="4A359BE5" w14:textId="77777777" w:rsidR="009E0599" w:rsidRDefault="009E0599" w:rsidP="009E0599">
      <w:pPr>
        <w:pStyle w:val="ListParagraph"/>
        <w:ind w:left="0"/>
        <w:jc w:val="both"/>
        <w:rPr>
          <w:lang w:val="en-US"/>
        </w:rPr>
      </w:pPr>
    </w:p>
    <w:p w14:paraId="7AC757AA" w14:textId="77777777" w:rsidR="009E0599" w:rsidRDefault="009E0599" w:rsidP="009E0599">
      <w:pPr>
        <w:pStyle w:val="ListParagraph"/>
        <w:ind w:left="0"/>
        <w:jc w:val="both"/>
        <w:rPr>
          <w:lang w:val="en-US"/>
        </w:rPr>
      </w:pPr>
    </w:p>
    <w:p w14:paraId="2AAEBE38" w14:textId="77777777" w:rsidR="009E0599" w:rsidRDefault="009E0599" w:rsidP="009E0599">
      <w:pPr>
        <w:pStyle w:val="ListParagraph"/>
        <w:ind w:left="0"/>
        <w:jc w:val="both"/>
        <w:rPr>
          <w:lang w:val="en-US"/>
        </w:rPr>
      </w:pPr>
    </w:p>
    <w:p w14:paraId="5EB5450C" w14:textId="77777777" w:rsidR="009E0599" w:rsidRDefault="009E0599" w:rsidP="009E0599">
      <w:pPr>
        <w:pStyle w:val="ListParagraph"/>
        <w:ind w:left="0"/>
        <w:jc w:val="both"/>
        <w:rPr>
          <w:lang w:val="en-US"/>
        </w:rPr>
      </w:pPr>
    </w:p>
    <w:p w14:paraId="4C3718AF" w14:textId="77777777" w:rsidR="009E0599" w:rsidRDefault="009E0599" w:rsidP="009E0599">
      <w:pPr>
        <w:pStyle w:val="ListParagraph"/>
        <w:ind w:left="0"/>
        <w:jc w:val="both"/>
        <w:rPr>
          <w:lang w:val="en-US"/>
        </w:rPr>
      </w:pPr>
    </w:p>
    <w:p w14:paraId="315F7014" w14:textId="77777777" w:rsidR="009E0599" w:rsidRDefault="009E0599" w:rsidP="009E0599">
      <w:pPr>
        <w:pStyle w:val="ListParagraph"/>
        <w:ind w:left="0"/>
        <w:jc w:val="both"/>
        <w:rPr>
          <w:lang w:val="en-US"/>
        </w:rPr>
      </w:pPr>
    </w:p>
    <w:p w14:paraId="10494948" w14:textId="77777777" w:rsidR="009E0599" w:rsidRDefault="009E0599" w:rsidP="009E0599">
      <w:pPr>
        <w:pStyle w:val="ListParagraph"/>
        <w:ind w:left="0"/>
        <w:jc w:val="both"/>
        <w:rPr>
          <w:lang w:val="en-US"/>
        </w:rPr>
      </w:pPr>
    </w:p>
    <w:p w14:paraId="4BE7044C" w14:textId="77777777" w:rsidR="009E0599" w:rsidRDefault="009E0599" w:rsidP="009E0599">
      <w:pPr>
        <w:pStyle w:val="ListParagraph"/>
        <w:ind w:left="0"/>
        <w:jc w:val="both"/>
        <w:rPr>
          <w:lang w:val="en-US"/>
        </w:rPr>
      </w:pPr>
    </w:p>
    <w:p w14:paraId="2F4D4F12" w14:textId="77777777" w:rsidR="009E0599" w:rsidRDefault="009E0599" w:rsidP="009E0599">
      <w:pPr>
        <w:pStyle w:val="ListParagraph"/>
        <w:ind w:left="0"/>
        <w:jc w:val="both"/>
        <w:rPr>
          <w:lang w:val="en-US"/>
        </w:rPr>
      </w:pPr>
    </w:p>
    <w:p w14:paraId="63E8DC6E" w14:textId="77777777" w:rsidR="009E0599" w:rsidRDefault="009E0599" w:rsidP="009E0599">
      <w:pPr>
        <w:pStyle w:val="ListParagraph"/>
        <w:ind w:left="0"/>
        <w:jc w:val="both"/>
        <w:rPr>
          <w:lang w:val="en-US"/>
        </w:rPr>
      </w:pPr>
    </w:p>
    <w:p w14:paraId="51A650A4" w14:textId="77777777" w:rsidR="009E0599" w:rsidRDefault="009E0599" w:rsidP="009E0599">
      <w:pPr>
        <w:pStyle w:val="ListParagraph"/>
        <w:ind w:left="0"/>
        <w:jc w:val="both"/>
        <w:rPr>
          <w:lang w:val="en-US"/>
        </w:rPr>
      </w:pPr>
    </w:p>
    <w:p w14:paraId="1C3D2FE3" w14:textId="77777777" w:rsidR="009E0599" w:rsidRDefault="009E0599" w:rsidP="009E0599">
      <w:pPr>
        <w:pStyle w:val="ListParagraph"/>
        <w:ind w:left="0"/>
        <w:jc w:val="both"/>
        <w:rPr>
          <w:lang w:val="en-US"/>
        </w:rPr>
      </w:pPr>
    </w:p>
    <w:p w14:paraId="56E1A540" w14:textId="77777777" w:rsidR="009E0599" w:rsidRDefault="009E0599" w:rsidP="009E0599">
      <w:pPr>
        <w:pStyle w:val="ListParagraph"/>
        <w:ind w:left="0"/>
        <w:jc w:val="both"/>
        <w:rPr>
          <w:lang w:val="en-US"/>
        </w:rPr>
      </w:pPr>
    </w:p>
    <w:p w14:paraId="1F124EB7" w14:textId="77777777" w:rsidR="009E0599" w:rsidRDefault="009E0599" w:rsidP="009E0599">
      <w:pPr>
        <w:pStyle w:val="ListParagraph"/>
        <w:ind w:left="0"/>
        <w:jc w:val="both"/>
        <w:rPr>
          <w:lang w:val="en-US"/>
        </w:rPr>
      </w:pPr>
    </w:p>
    <w:p w14:paraId="324E86BF" w14:textId="77777777" w:rsidR="00734584" w:rsidRPr="00734584" w:rsidRDefault="00734584" w:rsidP="00734584">
      <w:pPr>
        <w:pStyle w:val="ListParagraph"/>
        <w:jc w:val="both"/>
        <w:rPr>
          <w:b/>
          <w:bCs/>
          <w:lang w:val="en-GB"/>
        </w:rPr>
      </w:pPr>
      <w:r w:rsidRPr="00734584">
        <w:rPr>
          <w:b/>
          <w:bCs/>
          <w:lang w:val="en-GB"/>
        </w:rPr>
        <w:lastRenderedPageBreak/>
        <w:t>Visitor Management at Uluru-Kata Tjuta National Park, Australia: Sustainable Indigenous Tourism Management</w:t>
      </w:r>
    </w:p>
    <w:p w14:paraId="0994273B" w14:textId="77777777" w:rsidR="00734584" w:rsidRPr="00734584" w:rsidRDefault="00734584" w:rsidP="00734584">
      <w:pPr>
        <w:pStyle w:val="ListParagraph"/>
        <w:jc w:val="both"/>
        <w:rPr>
          <w:b/>
          <w:bCs/>
          <w:lang w:val="en-GB"/>
        </w:rPr>
      </w:pPr>
      <w:r w:rsidRPr="00734584">
        <w:rPr>
          <w:b/>
          <w:bCs/>
          <w:lang w:val="en-GB"/>
        </w:rPr>
        <w:t>Introduction to the Selected Site</w:t>
      </w:r>
    </w:p>
    <w:p w14:paraId="13B1ADBF" w14:textId="77777777" w:rsidR="00734584" w:rsidRPr="00734584" w:rsidRDefault="00734584" w:rsidP="00734584">
      <w:pPr>
        <w:pStyle w:val="ListParagraph"/>
        <w:jc w:val="both"/>
        <w:rPr>
          <w:lang w:val="en-GB"/>
        </w:rPr>
      </w:pPr>
      <w:r w:rsidRPr="00734584">
        <w:rPr>
          <w:lang w:val="en-GB"/>
        </w:rPr>
        <w:t>Uluru-Kata Tjuta National Park is a protected cultural landscape located in Australia’s Northern Territory. The site is recognised as a UNESCO World Heritage Area for both its natural values and deep cultural significance to the Anangu Aboriginal people, the traditional owners of the land (Parks Australia, 2024). The destination attracts visitors worldwide due to Uluru’s geological importance and cultural heritage.</w:t>
      </w:r>
    </w:p>
    <w:p w14:paraId="22632B6A" w14:textId="77777777" w:rsidR="00734584" w:rsidRPr="00734584" w:rsidRDefault="00734584" w:rsidP="00734584">
      <w:pPr>
        <w:pStyle w:val="ListParagraph"/>
        <w:jc w:val="both"/>
        <w:rPr>
          <w:lang w:val="en-GB"/>
        </w:rPr>
      </w:pPr>
      <w:r w:rsidRPr="00734584">
        <w:rPr>
          <w:lang w:val="en-GB"/>
        </w:rPr>
        <w:t>Visitor Management</w:t>
      </w:r>
    </w:p>
    <w:p w14:paraId="51854FBB" w14:textId="77777777" w:rsidR="00734584" w:rsidRPr="00734584" w:rsidRDefault="00734584" w:rsidP="00734584">
      <w:pPr>
        <w:pStyle w:val="ListParagraph"/>
        <w:jc w:val="both"/>
        <w:rPr>
          <w:lang w:val="en-GB"/>
        </w:rPr>
      </w:pPr>
      <w:r w:rsidRPr="00734584">
        <w:rPr>
          <w:lang w:val="en-GB"/>
        </w:rPr>
        <w:t>Visitor management at Uluru focuses on conservation, cultural respect, and sustainable tourism. Parks Australia manages visitor access through designated walking tracks, visitor education programs, safety regulations, and interpretation centres. A significant visitor management measure was the permanent closure of climbing Uluru in 2019, following consultation with traditional owners regarding cultural and environmental concerns (Parks Australia, 2024).</w:t>
      </w:r>
    </w:p>
    <w:p w14:paraId="0250AB0E" w14:textId="77777777" w:rsidR="00734584" w:rsidRPr="00734584" w:rsidRDefault="00734584" w:rsidP="00734584">
      <w:pPr>
        <w:pStyle w:val="ListParagraph"/>
        <w:jc w:val="both"/>
        <w:rPr>
          <w:lang w:val="en-GB"/>
        </w:rPr>
      </w:pPr>
      <w:r w:rsidRPr="00734584">
        <w:rPr>
          <w:lang w:val="en-GB"/>
        </w:rPr>
        <w:t>Authorities encourage visitors to engage with Aboriginal cultural experiences and learn about the spiritual significance of the landscape. This approach shifts tourism from simple sightseeing towards respectful and educational experiences.</w:t>
      </w:r>
    </w:p>
    <w:p w14:paraId="6BBEDDB3" w14:textId="77777777" w:rsidR="00734584" w:rsidRPr="00734584" w:rsidRDefault="00734584" w:rsidP="00734584">
      <w:pPr>
        <w:pStyle w:val="ListParagraph"/>
        <w:jc w:val="both"/>
        <w:rPr>
          <w:b/>
          <w:bCs/>
          <w:lang w:val="en-GB"/>
        </w:rPr>
      </w:pPr>
      <w:r w:rsidRPr="00734584">
        <w:rPr>
          <w:b/>
          <w:bCs/>
          <w:lang w:val="en-GB"/>
        </w:rPr>
        <w:t>Visitor Management Challenges</w:t>
      </w:r>
    </w:p>
    <w:p w14:paraId="144BFCEA" w14:textId="77777777" w:rsidR="00734584" w:rsidRPr="00734584" w:rsidRDefault="00734584" w:rsidP="00734584">
      <w:pPr>
        <w:pStyle w:val="ListParagraph"/>
        <w:jc w:val="both"/>
        <w:rPr>
          <w:lang w:val="en-GB"/>
        </w:rPr>
      </w:pPr>
      <w:r w:rsidRPr="00734584">
        <w:rPr>
          <w:lang w:val="en-GB"/>
        </w:rPr>
        <w:t>A key challenge is balancing tourism demand with Indigenous cultural values. Some visitors previously viewed climbing Uluru as a recreational activity, while the Anangu people considered it culturally inappropriate. Managing different visitor expectations required extensive communication and stakeholder engagement.</w:t>
      </w:r>
    </w:p>
    <w:p w14:paraId="4232622B" w14:textId="77777777" w:rsidR="00734584" w:rsidRPr="00734584" w:rsidRDefault="00734584" w:rsidP="00734584">
      <w:pPr>
        <w:pStyle w:val="ListParagraph"/>
        <w:jc w:val="both"/>
        <w:rPr>
          <w:lang w:val="en-GB"/>
        </w:rPr>
      </w:pPr>
      <w:r w:rsidRPr="00734584">
        <w:rPr>
          <w:lang w:val="en-GB"/>
        </w:rPr>
        <w:t>Environmental challenges include erosion, waste management, and protection of fragile desert ecosystems. Climate conditions also create risks for visitor safety and site conservation.</w:t>
      </w:r>
    </w:p>
    <w:p w14:paraId="21ECD833" w14:textId="77777777" w:rsidR="00734584" w:rsidRPr="00734584" w:rsidRDefault="00734584" w:rsidP="00734584">
      <w:pPr>
        <w:pStyle w:val="ListParagraph"/>
        <w:jc w:val="both"/>
        <w:rPr>
          <w:lang w:val="en-GB"/>
        </w:rPr>
      </w:pPr>
      <w:r w:rsidRPr="00734584">
        <w:rPr>
          <w:lang w:val="en-GB"/>
        </w:rPr>
        <w:t>Impacts of Visitors on the Site, Local Community and Visitor Experience</w:t>
      </w:r>
    </w:p>
    <w:p w14:paraId="162EE86F" w14:textId="77777777" w:rsidR="00734584" w:rsidRPr="00734584" w:rsidRDefault="00734584" w:rsidP="00734584">
      <w:pPr>
        <w:pStyle w:val="ListParagraph"/>
        <w:jc w:val="both"/>
        <w:rPr>
          <w:lang w:val="en-GB"/>
        </w:rPr>
      </w:pPr>
      <w:r w:rsidRPr="00734584">
        <w:rPr>
          <w:lang w:val="en-GB"/>
        </w:rPr>
        <w:t>Tourism provides economic benefits through employment, accommodation, cultural tourism activities, and support for local communities. Indigenous tourism initiatives also create opportunities for cultural preservation and knowledge sharing.</w:t>
      </w:r>
    </w:p>
    <w:p w14:paraId="20979DE1" w14:textId="77777777" w:rsidR="00734584" w:rsidRPr="00734584" w:rsidRDefault="00734584" w:rsidP="00734584">
      <w:pPr>
        <w:pStyle w:val="ListParagraph"/>
        <w:jc w:val="both"/>
        <w:rPr>
          <w:lang w:val="en-GB"/>
        </w:rPr>
      </w:pPr>
      <w:r w:rsidRPr="00734584">
        <w:rPr>
          <w:lang w:val="en-GB"/>
        </w:rPr>
        <w:t>However, uncontrolled visitor behaviour can damage natural areas and conflict with cultural values. Large visitor numbers may increase pressure on infrastructure and natural resources.</w:t>
      </w:r>
    </w:p>
    <w:p w14:paraId="73907303" w14:textId="77777777" w:rsidR="00734584" w:rsidRPr="00734584" w:rsidRDefault="00734584" w:rsidP="00734584">
      <w:pPr>
        <w:pStyle w:val="ListParagraph"/>
        <w:jc w:val="both"/>
        <w:rPr>
          <w:lang w:val="en-GB"/>
        </w:rPr>
      </w:pPr>
      <w:r w:rsidRPr="00734584">
        <w:rPr>
          <w:lang w:val="en-GB"/>
        </w:rPr>
        <w:t>For visitors, management strategies enhance understanding of Indigenous heritage and provide meaningful cultural experiences. Although some restrictions may limit activities, they contribute to protecting the site’s significance.</w:t>
      </w:r>
    </w:p>
    <w:p w14:paraId="079935BA" w14:textId="77777777" w:rsidR="00734584" w:rsidRPr="00734584" w:rsidRDefault="00734584" w:rsidP="00734584">
      <w:pPr>
        <w:pStyle w:val="ListParagraph"/>
        <w:jc w:val="both"/>
        <w:rPr>
          <w:lang w:val="en-GB"/>
        </w:rPr>
      </w:pPr>
      <w:r w:rsidRPr="00734584">
        <w:rPr>
          <w:lang w:val="en-GB"/>
        </w:rPr>
        <w:t>In conclusion, Uluru demonstrates how visitor management can integrate conservation, cultural protection, and tourism development. Sustainable approaches ensure that visitors can appreciate the site while respecting its environmental and Indigenous values.</w:t>
      </w:r>
    </w:p>
    <w:p w14:paraId="1BAEC8F6" w14:textId="3FCE3CFC" w:rsidR="00734584" w:rsidRPr="00734584" w:rsidRDefault="00734584" w:rsidP="00734584">
      <w:pPr>
        <w:pStyle w:val="ListParagraph"/>
        <w:jc w:val="both"/>
        <w:rPr>
          <w:lang w:val="en-GB"/>
        </w:rPr>
      </w:pPr>
    </w:p>
    <w:p w14:paraId="1F78C777" w14:textId="77777777" w:rsidR="00734584" w:rsidRDefault="00734584" w:rsidP="00734584">
      <w:pPr>
        <w:pStyle w:val="ListParagraph"/>
        <w:jc w:val="both"/>
        <w:rPr>
          <w:b/>
          <w:bCs/>
          <w:lang w:val="en-GB"/>
        </w:rPr>
      </w:pPr>
    </w:p>
    <w:p w14:paraId="5B282AA5" w14:textId="77777777" w:rsidR="00734584" w:rsidRDefault="00734584" w:rsidP="00734584">
      <w:pPr>
        <w:pStyle w:val="ListParagraph"/>
        <w:jc w:val="both"/>
        <w:rPr>
          <w:b/>
          <w:bCs/>
          <w:lang w:val="en-GB"/>
        </w:rPr>
      </w:pPr>
    </w:p>
    <w:p w14:paraId="1AF4ADEB" w14:textId="77777777" w:rsidR="00734584" w:rsidRDefault="00734584" w:rsidP="00734584">
      <w:pPr>
        <w:pStyle w:val="ListParagraph"/>
        <w:jc w:val="both"/>
        <w:rPr>
          <w:b/>
          <w:bCs/>
          <w:lang w:val="en-GB"/>
        </w:rPr>
      </w:pPr>
    </w:p>
    <w:p w14:paraId="79EF6473" w14:textId="77777777" w:rsidR="00734584" w:rsidRDefault="00734584" w:rsidP="00734584">
      <w:pPr>
        <w:pStyle w:val="ListParagraph"/>
        <w:jc w:val="both"/>
        <w:rPr>
          <w:b/>
          <w:bCs/>
          <w:lang w:val="en-GB"/>
        </w:rPr>
      </w:pPr>
    </w:p>
    <w:p w14:paraId="04AB851C" w14:textId="77777777" w:rsidR="00734584" w:rsidRDefault="00734584" w:rsidP="00734584">
      <w:pPr>
        <w:pStyle w:val="ListParagraph"/>
        <w:jc w:val="both"/>
        <w:rPr>
          <w:b/>
          <w:bCs/>
          <w:lang w:val="en-GB"/>
        </w:rPr>
      </w:pPr>
    </w:p>
    <w:p w14:paraId="7B62361C" w14:textId="77777777" w:rsidR="00734584" w:rsidRPr="00734584" w:rsidRDefault="00734584" w:rsidP="00734584">
      <w:pPr>
        <w:pStyle w:val="ListParagraph"/>
        <w:jc w:val="both"/>
        <w:rPr>
          <w:b/>
          <w:bCs/>
          <w:lang w:val="en-GB"/>
        </w:rPr>
      </w:pPr>
    </w:p>
    <w:p w14:paraId="1B60352D" w14:textId="77777777" w:rsidR="00734584" w:rsidRPr="00734584" w:rsidRDefault="00734584" w:rsidP="00734584">
      <w:pPr>
        <w:pStyle w:val="ListParagraph"/>
        <w:jc w:val="both"/>
        <w:rPr>
          <w:b/>
          <w:bCs/>
          <w:lang w:val="en-GB"/>
        </w:rPr>
      </w:pPr>
      <w:r w:rsidRPr="00734584">
        <w:rPr>
          <w:b/>
          <w:bCs/>
          <w:lang w:val="en-GB"/>
        </w:rPr>
        <w:lastRenderedPageBreak/>
        <w:t>References (APA 7th)</w:t>
      </w:r>
    </w:p>
    <w:p w14:paraId="54E4AE7A" w14:textId="77777777" w:rsidR="00734584" w:rsidRPr="00734584" w:rsidRDefault="00734584" w:rsidP="00734584">
      <w:pPr>
        <w:pStyle w:val="ListParagraph"/>
        <w:jc w:val="both"/>
        <w:rPr>
          <w:b/>
          <w:bCs/>
          <w:lang w:val="en-GB"/>
        </w:rPr>
      </w:pPr>
      <w:r w:rsidRPr="00734584">
        <w:rPr>
          <w:b/>
          <w:bCs/>
          <w:lang w:val="en-GB"/>
        </w:rPr>
        <w:t xml:space="preserve">Parks Australia. (2024). </w:t>
      </w:r>
      <w:r w:rsidRPr="00734584">
        <w:rPr>
          <w:b/>
          <w:bCs/>
          <w:i/>
          <w:iCs/>
          <w:lang w:val="en-GB"/>
        </w:rPr>
        <w:t>Uluru-Kata Tjuta National Park management and visitor information</w:t>
      </w:r>
      <w:r w:rsidRPr="00734584">
        <w:rPr>
          <w:b/>
          <w:bCs/>
          <w:lang w:val="en-GB"/>
        </w:rPr>
        <w:t>. Australian Government.</w:t>
      </w:r>
    </w:p>
    <w:p w14:paraId="640661D3" w14:textId="77777777" w:rsidR="00734584" w:rsidRPr="00734584" w:rsidRDefault="00734584" w:rsidP="00734584">
      <w:pPr>
        <w:pStyle w:val="ListParagraph"/>
        <w:jc w:val="both"/>
        <w:rPr>
          <w:b/>
          <w:bCs/>
          <w:lang w:val="en-GB"/>
        </w:rPr>
      </w:pPr>
      <w:r w:rsidRPr="00734584">
        <w:rPr>
          <w:b/>
          <w:bCs/>
          <w:lang w:val="en-GB"/>
        </w:rPr>
        <w:t xml:space="preserve">UNESCO. (2024). </w:t>
      </w:r>
      <w:r w:rsidRPr="00734584">
        <w:rPr>
          <w:b/>
          <w:bCs/>
          <w:i/>
          <w:iCs/>
          <w:lang w:val="en-GB"/>
        </w:rPr>
        <w:t>Uluru-Kata Tjuta National Park</w:t>
      </w:r>
      <w:r w:rsidRPr="00734584">
        <w:rPr>
          <w:b/>
          <w:bCs/>
          <w:lang w:val="en-GB"/>
        </w:rPr>
        <w:t xml:space="preserve">. World Heritage Centre. </w:t>
      </w:r>
      <w:hyperlink r:id="rId6" w:tgtFrame="_new" w:history="1">
        <w:r w:rsidRPr="00734584">
          <w:rPr>
            <w:rStyle w:val="Hyperlink"/>
            <w:b/>
            <w:bCs/>
            <w:lang w:val="en-GB"/>
          </w:rPr>
          <w:t>https://whc.unesco.org/en/list/447</w:t>
        </w:r>
      </w:hyperlink>
    </w:p>
    <w:p w14:paraId="63E3BDE2" w14:textId="77777777" w:rsidR="00734584" w:rsidRPr="00734584" w:rsidRDefault="00734584" w:rsidP="00734584">
      <w:pPr>
        <w:pStyle w:val="ListParagraph"/>
        <w:jc w:val="both"/>
        <w:rPr>
          <w:b/>
          <w:bCs/>
          <w:lang w:val="en-GB"/>
        </w:rPr>
      </w:pPr>
      <w:r w:rsidRPr="00734584">
        <w:rPr>
          <w:b/>
          <w:bCs/>
          <w:lang w:val="en-GB"/>
        </w:rPr>
        <w:t xml:space="preserve">Weaver, D. (2019). Sustainable tourism: Theory and practice. </w:t>
      </w:r>
      <w:r w:rsidRPr="00734584">
        <w:rPr>
          <w:b/>
          <w:bCs/>
          <w:i/>
          <w:iCs/>
          <w:lang w:val="en-GB"/>
        </w:rPr>
        <w:t>Tourism Management Perspectives, 30</w:t>
      </w:r>
      <w:r w:rsidRPr="00734584">
        <w:rPr>
          <w:b/>
          <w:bCs/>
          <w:lang w:val="en-GB"/>
        </w:rPr>
        <w:t>, 1–8.</w:t>
      </w:r>
    </w:p>
    <w:p w14:paraId="086304E2" w14:textId="77777777" w:rsidR="008F6557" w:rsidRPr="009E0599" w:rsidRDefault="008F6557" w:rsidP="00734584">
      <w:pPr>
        <w:pStyle w:val="ListParagraph"/>
        <w:jc w:val="both"/>
        <w:rPr>
          <w:lang w:val="en-US"/>
        </w:rPr>
      </w:pPr>
    </w:p>
    <w:sectPr w:rsidR="008F6557" w:rsidRPr="009E05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F5F0A750-C071-4E5C-A3A9-CCC3F94EF436}"/>
    <w:embedBold r:id="rId2" w:fontKey="{ADF82507-E160-480C-9721-E60A1D5497ED}"/>
    <w:embedBoldItalic r:id="rId3" w:fontKey="{28234D1B-5EF9-46C7-BB5D-AD9CD8049B1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8A6FDA35-D98E-44C6-8489-B0C9879922C2}"/>
  </w:font>
  <w:font w:name="Calibri Light">
    <w:panose1 w:val="020F0302020204030204"/>
    <w:charset w:val="00"/>
    <w:family w:val="swiss"/>
    <w:pitch w:val="variable"/>
    <w:sig w:usb0="E4002EFF" w:usb1="C000247B" w:usb2="00000009" w:usb3="00000000" w:csb0="000001FF" w:csb1="00000000"/>
    <w:embedRegular r:id="rId5" w:fontKey="{15C1EF2C-15AB-4BB8-97A4-783072F0B1D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13788"/>
    <w:multiLevelType w:val="hybridMultilevel"/>
    <w:tmpl w:val="1520F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600A87"/>
    <w:multiLevelType w:val="hybridMultilevel"/>
    <w:tmpl w:val="092AE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C523F8"/>
    <w:multiLevelType w:val="hybridMultilevel"/>
    <w:tmpl w:val="58FC3C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2"/>
  </w:num>
  <w:num w:numId="2" w16cid:durableId="207493924">
    <w:abstractNumId w:val="1"/>
  </w:num>
  <w:num w:numId="3" w16cid:durableId="957953427">
    <w:abstractNumId w:val="3"/>
  </w:num>
  <w:num w:numId="4" w16cid:durableId="289022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0E233E"/>
    <w:rsid w:val="001700EC"/>
    <w:rsid w:val="0017025C"/>
    <w:rsid w:val="00174BB1"/>
    <w:rsid w:val="00224FD9"/>
    <w:rsid w:val="002F4AE0"/>
    <w:rsid w:val="00384E8A"/>
    <w:rsid w:val="003C5D74"/>
    <w:rsid w:val="003D1074"/>
    <w:rsid w:val="00426865"/>
    <w:rsid w:val="00477CAA"/>
    <w:rsid w:val="00502E29"/>
    <w:rsid w:val="005E458B"/>
    <w:rsid w:val="00672345"/>
    <w:rsid w:val="006A1079"/>
    <w:rsid w:val="006E036E"/>
    <w:rsid w:val="00734584"/>
    <w:rsid w:val="00762633"/>
    <w:rsid w:val="00844EC2"/>
    <w:rsid w:val="008516FE"/>
    <w:rsid w:val="008F6557"/>
    <w:rsid w:val="009761BC"/>
    <w:rsid w:val="0099651A"/>
    <w:rsid w:val="009C1D0A"/>
    <w:rsid w:val="009E0599"/>
    <w:rsid w:val="00A044F7"/>
    <w:rsid w:val="00A8150E"/>
    <w:rsid w:val="00AA76A1"/>
    <w:rsid w:val="00B20343"/>
    <w:rsid w:val="00B85EA7"/>
    <w:rsid w:val="00BE65DD"/>
    <w:rsid w:val="00C612A4"/>
    <w:rsid w:val="00CC6AD1"/>
    <w:rsid w:val="00D615D6"/>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84950"/>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9E0599"/>
    <w:rPr>
      <w:color w:val="0563C1" w:themeColor="hyperlink"/>
      <w:u w:val="single"/>
    </w:rPr>
  </w:style>
  <w:style w:type="character" w:styleId="UnresolvedMention">
    <w:name w:val="Unresolved Mention"/>
    <w:basedOn w:val="DefaultParagraphFont"/>
    <w:uiPriority w:val="99"/>
    <w:semiHidden/>
    <w:unhideWhenUsed/>
    <w:rsid w:val="009E05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en/list/447"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550</Words>
  <Characters>3140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2026-09-24T03:18:00Z</dcterms:created>
  <dcterms:modified xsi:type="dcterms:W3CDTF">2026-09-24T03:18:00Z</dcterms:modified>
</cp:coreProperties>
</file>