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3AEB89CC" w14:textId="77777777" w:rsidR="003F4BD0" w:rsidRPr="003F4BD0" w:rsidRDefault="003F4BD0" w:rsidP="003F4BD0">
      <w:pPr>
        <w:spacing w:line="276" w:lineRule="auto"/>
        <w:rPr>
          <w:b/>
          <w:bCs/>
          <w:lang w:val="en-GB"/>
        </w:rPr>
      </w:pPr>
      <w:r w:rsidRPr="003F4BD0">
        <w:rPr>
          <w:b/>
          <w:bCs/>
          <w:lang w:val="en-GB"/>
        </w:rPr>
        <w:lastRenderedPageBreak/>
        <w:t>The distinction between conventional and value-led approaches in heritage management reflects broader shifts in how society understands culture, identity, and the role of heritage in contemporary life. The conventional approach is primarily concerned with the preservation of tangible heritage, including monuments, historic buildings, and archaeological sites. It is grounded in principles of authenticity, integrity, and scientific conservation, often guided by international charters such as the Venice Charter. This approach relies heavily on expert knowledge, with decisions typically made by professionals such as archaeologists, architects, and conservators.</w:t>
      </w:r>
    </w:p>
    <w:p w14:paraId="791226C1" w14:textId="77777777" w:rsidR="003F4BD0" w:rsidRPr="003F4BD0" w:rsidRDefault="003F4BD0" w:rsidP="003F4BD0">
      <w:pPr>
        <w:spacing w:line="276" w:lineRule="auto"/>
        <w:rPr>
          <w:b/>
          <w:bCs/>
          <w:lang w:val="en-GB"/>
        </w:rPr>
      </w:pPr>
      <w:r w:rsidRPr="003F4BD0">
        <w:rPr>
          <w:b/>
          <w:bCs/>
          <w:lang w:val="en-GB"/>
        </w:rPr>
        <w:t xml:space="preserve">While the conventional model has been effective in protecting many important heritage sites, it has also been criticized for its limitations. One major issue is its tendency to prioritize material aspects of heritage while neglecting intangible values such as cultural practices, traditions, and community meanings. </w:t>
      </w:r>
      <w:proofErr w:type="spellStart"/>
      <w:r w:rsidRPr="003F4BD0">
        <w:rPr>
          <w:b/>
          <w:bCs/>
          <w:lang w:val="en-GB"/>
        </w:rPr>
        <w:t>Laurajane</w:t>
      </w:r>
      <w:proofErr w:type="spellEnd"/>
      <w:r w:rsidRPr="003F4BD0">
        <w:rPr>
          <w:b/>
          <w:bCs/>
          <w:lang w:val="en-GB"/>
        </w:rPr>
        <w:t xml:space="preserve"> Smith (2006) describes this as the “Authorized Heritage Discourse,” where heritage is defined and managed by a select group of experts, often excluding alternative perspectives. As a result, certain groups, particularly indigenous and local communities, have historically been marginalized in heritage decision-making processes.</w:t>
      </w:r>
    </w:p>
    <w:p w14:paraId="4865BD8A" w14:textId="77777777" w:rsidR="003F4BD0" w:rsidRPr="003F4BD0" w:rsidRDefault="003F4BD0" w:rsidP="003F4BD0">
      <w:pPr>
        <w:spacing w:line="276" w:lineRule="auto"/>
        <w:rPr>
          <w:b/>
          <w:bCs/>
          <w:lang w:val="en-GB"/>
        </w:rPr>
      </w:pPr>
      <w:r w:rsidRPr="003F4BD0">
        <w:rPr>
          <w:b/>
          <w:bCs/>
          <w:lang w:val="en-GB"/>
        </w:rPr>
        <w:t>In contrast, the value-led approach represents a significant shift toward a more inclusive and people-</w:t>
      </w:r>
      <w:proofErr w:type="spellStart"/>
      <w:r w:rsidRPr="003F4BD0">
        <w:rPr>
          <w:b/>
          <w:bCs/>
          <w:lang w:val="en-GB"/>
        </w:rPr>
        <w:t>centered</w:t>
      </w:r>
      <w:proofErr w:type="spellEnd"/>
      <w:r w:rsidRPr="003F4BD0">
        <w:rPr>
          <w:b/>
          <w:bCs/>
          <w:lang w:val="en-GB"/>
        </w:rPr>
        <w:t xml:space="preserve"> model. This approach recognizes that heritage is not just about physical objects but also about the meanings and values that people attach to them. These values can be diverse and sometimes conflicting, including social, spiritual, economic, and political dimensions. The value-led approach emphasizes the importance of stakeholder engagement, ensuring that different voices are heard and considered in the management process.</w:t>
      </w:r>
    </w:p>
    <w:p w14:paraId="022521B1" w14:textId="77777777" w:rsidR="003F4BD0" w:rsidRPr="003F4BD0" w:rsidRDefault="003F4BD0" w:rsidP="003F4BD0">
      <w:pPr>
        <w:spacing w:line="276" w:lineRule="auto"/>
        <w:rPr>
          <w:b/>
          <w:bCs/>
          <w:lang w:val="en-GB"/>
        </w:rPr>
      </w:pPr>
      <w:r w:rsidRPr="003F4BD0">
        <w:rPr>
          <w:b/>
          <w:bCs/>
          <w:lang w:val="en-GB"/>
        </w:rPr>
        <w:t>A key strength of the value-led approach is its recognition of heritage as a dynamic and evolving concept. Unlike the conventional approach, which often seeks to preserve heritage in a fixed state, the value-led approach acknowledges that heritage can change over time as societies evolve. This is particularly important in the context of living heritage, where cultural practices and traditions continue to develop. For example, heritage festivals, rituals, and community traditions demonstrate how intangible values play a crucial role in shaping heritage significance.</w:t>
      </w:r>
    </w:p>
    <w:p w14:paraId="658A2C82" w14:textId="77777777" w:rsidR="003F4BD0" w:rsidRPr="003F4BD0" w:rsidRDefault="003F4BD0" w:rsidP="003F4BD0">
      <w:pPr>
        <w:spacing w:line="276" w:lineRule="auto"/>
        <w:rPr>
          <w:b/>
          <w:bCs/>
          <w:lang w:val="en-GB"/>
        </w:rPr>
      </w:pPr>
      <w:r w:rsidRPr="003F4BD0">
        <w:rPr>
          <w:b/>
          <w:bCs/>
          <w:lang w:val="en-GB"/>
        </w:rPr>
        <w:t xml:space="preserve">In evaluating which approach is more effective in contemporary contexts, the value-led approach offers several advantages. It is better equipped to address current challenges such as globalization, urbanization, and cultural diversity. By involving communities and recognizing multiple perspectives, it promotes inclusivity and social sustainability. For instance, participatory heritage projects in urban areas have shown that involving </w:t>
      </w:r>
      <w:proofErr w:type="gramStart"/>
      <w:r w:rsidRPr="003F4BD0">
        <w:rPr>
          <w:b/>
          <w:bCs/>
          <w:lang w:val="en-GB"/>
        </w:rPr>
        <w:t>local residents</w:t>
      </w:r>
      <w:proofErr w:type="gramEnd"/>
      <w:r w:rsidRPr="003F4BD0">
        <w:rPr>
          <w:b/>
          <w:bCs/>
          <w:lang w:val="en-GB"/>
        </w:rPr>
        <w:t xml:space="preserve"> in decision-making can lead to more meaningful and sustainable outcomes.</w:t>
      </w:r>
    </w:p>
    <w:p w14:paraId="00DA73B0" w14:textId="77777777" w:rsidR="003F4BD0" w:rsidRPr="003F4BD0" w:rsidRDefault="003F4BD0" w:rsidP="003F4BD0">
      <w:pPr>
        <w:spacing w:line="276" w:lineRule="auto"/>
        <w:rPr>
          <w:b/>
          <w:bCs/>
          <w:lang w:val="en-GB"/>
        </w:rPr>
      </w:pPr>
      <w:r w:rsidRPr="003F4BD0">
        <w:rPr>
          <w:b/>
          <w:bCs/>
          <w:lang w:val="en-GB"/>
        </w:rPr>
        <w:t>However, the value-led approach also presents challenges. Managing multiple and sometimes conflicting values can be difficult, requiring strong governance and negotiation skills. Additionally, there is a need to balance community input with technical expertise to ensure that conservation standards are maintained. Without proper guidance, there is a risk that heritage sites may be altered in ways that compromise their historical integrity.</w:t>
      </w:r>
    </w:p>
    <w:p w14:paraId="5794E61A" w14:textId="77777777" w:rsidR="003F4BD0" w:rsidRPr="003F4BD0" w:rsidRDefault="003F4BD0" w:rsidP="003F4BD0">
      <w:pPr>
        <w:spacing w:line="276" w:lineRule="auto"/>
        <w:rPr>
          <w:b/>
          <w:bCs/>
          <w:lang w:val="en-GB"/>
        </w:rPr>
      </w:pPr>
      <w:r w:rsidRPr="003F4BD0">
        <w:rPr>
          <w:b/>
          <w:bCs/>
          <w:lang w:val="en-GB"/>
        </w:rPr>
        <w:lastRenderedPageBreak/>
        <w:t>Therefore, rather than viewing the two approaches as mutually exclusive, many scholars advocate for an integrated approach that combines their strengths. The conventional approach provides the technical foundation necessary for preserving heritage, while the value-led approach ensures that heritage remains relevant and meaningful to society. By combining these perspectives, heritage management can achieve both conservation and social engagement.</w:t>
      </w:r>
    </w:p>
    <w:p w14:paraId="064C5203" w14:textId="77777777" w:rsidR="003F4BD0" w:rsidRPr="003F4BD0" w:rsidRDefault="003F4BD0" w:rsidP="003F4BD0">
      <w:pPr>
        <w:spacing w:line="276" w:lineRule="auto"/>
        <w:rPr>
          <w:b/>
          <w:bCs/>
          <w:lang w:val="en-GB"/>
        </w:rPr>
      </w:pPr>
      <w:r w:rsidRPr="003F4BD0">
        <w:rPr>
          <w:b/>
          <w:bCs/>
          <w:lang w:val="en-GB"/>
        </w:rPr>
        <w:t>In conclusion, the shift from conventional to value-led heritage management reflects a broader recognition of the importance of people, values, and cultural diversity in shaping heritage. While the conventional approach remains important, the value-led approach offers a more flexible, inclusive, and effective framework for addressing the complex challenges of contemporary heritage management.</w:t>
      </w:r>
    </w:p>
    <w:p w14:paraId="38F2DE82" w14:textId="77777777" w:rsidR="003F4BD0" w:rsidRPr="003F4BD0" w:rsidRDefault="003F4BD0" w:rsidP="003F4BD0">
      <w:pPr>
        <w:spacing w:line="276" w:lineRule="auto"/>
        <w:rPr>
          <w:b/>
          <w:bCs/>
          <w:lang w:val="en-GB"/>
        </w:rPr>
      </w:pPr>
      <w:r w:rsidRPr="003F4BD0">
        <w:rPr>
          <w:b/>
          <w:bCs/>
          <w:lang w:val="en-GB"/>
        </w:rPr>
        <w:t>References</w:t>
      </w:r>
    </w:p>
    <w:p w14:paraId="584EFB84" w14:textId="77777777" w:rsidR="003F4BD0" w:rsidRPr="003F4BD0" w:rsidRDefault="003F4BD0" w:rsidP="003F4BD0">
      <w:pPr>
        <w:numPr>
          <w:ilvl w:val="0"/>
          <w:numId w:val="3"/>
        </w:numPr>
        <w:spacing w:line="276" w:lineRule="auto"/>
        <w:rPr>
          <w:b/>
          <w:bCs/>
          <w:lang w:val="en-GB"/>
        </w:rPr>
      </w:pPr>
      <w:r w:rsidRPr="003F4BD0">
        <w:rPr>
          <w:b/>
          <w:bCs/>
          <w:lang w:val="en-GB"/>
        </w:rPr>
        <w:t xml:space="preserve">Smith, L. (2006). </w:t>
      </w:r>
      <w:r w:rsidRPr="003F4BD0">
        <w:rPr>
          <w:b/>
          <w:bCs/>
          <w:i/>
          <w:iCs/>
          <w:lang w:val="en-GB"/>
        </w:rPr>
        <w:t>Uses of Heritage</w:t>
      </w:r>
      <w:r w:rsidRPr="003F4BD0">
        <w:rPr>
          <w:b/>
          <w:bCs/>
          <w:lang w:val="en-GB"/>
        </w:rPr>
        <w:t xml:space="preserve">. Routledge. </w:t>
      </w:r>
      <w:hyperlink r:id="rId6" w:tgtFrame="_new" w:history="1">
        <w:r w:rsidRPr="003F4BD0">
          <w:rPr>
            <w:rStyle w:val="Hyperlink"/>
            <w:b/>
            <w:bCs/>
            <w:lang w:val="en-GB"/>
          </w:rPr>
          <w:t>https://doi.org/10.4324/9780203602263</w:t>
        </w:r>
      </w:hyperlink>
      <w:r w:rsidRPr="003F4BD0">
        <w:rPr>
          <w:b/>
          <w:bCs/>
          <w:lang w:val="en-GB"/>
        </w:rPr>
        <w:t xml:space="preserve"> </w:t>
      </w:r>
    </w:p>
    <w:p w14:paraId="6913CC12" w14:textId="77777777" w:rsidR="003F4BD0" w:rsidRPr="003F4BD0" w:rsidRDefault="003F4BD0" w:rsidP="003F4BD0">
      <w:pPr>
        <w:numPr>
          <w:ilvl w:val="0"/>
          <w:numId w:val="3"/>
        </w:numPr>
        <w:spacing w:line="276" w:lineRule="auto"/>
        <w:rPr>
          <w:b/>
          <w:bCs/>
          <w:lang w:val="en-GB"/>
        </w:rPr>
      </w:pPr>
      <w:r w:rsidRPr="003F4BD0">
        <w:rPr>
          <w:b/>
          <w:bCs/>
          <w:lang w:val="en-GB"/>
        </w:rPr>
        <w:t xml:space="preserve">Mason, R. (2008). </w:t>
      </w:r>
      <w:r w:rsidRPr="003F4BD0">
        <w:rPr>
          <w:b/>
          <w:bCs/>
          <w:i/>
          <w:iCs/>
          <w:lang w:val="en-GB"/>
        </w:rPr>
        <w:t>Assessing Values in Conservation Planning</w:t>
      </w:r>
      <w:r w:rsidRPr="003F4BD0">
        <w:rPr>
          <w:b/>
          <w:bCs/>
          <w:lang w:val="en-GB"/>
        </w:rPr>
        <w:t xml:space="preserve">. Getty Conservation Institute. </w:t>
      </w:r>
    </w:p>
    <w:p w14:paraId="3788B591" w14:textId="77777777" w:rsidR="003F4BD0" w:rsidRPr="003F4BD0" w:rsidRDefault="003F4BD0" w:rsidP="003F4BD0">
      <w:pPr>
        <w:numPr>
          <w:ilvl w:val="0"/>
          <w:numId w:val="3"/>
        </w:numPr>
        <w:spacing w:line="276" w:lineRule="auto"/>
        <w:rPr>
          <w:b/>
          <w:bCs/>
          <w:lang w:val="en-GB"/>
        </w:rPr>
      </w:pPr>
      <w:proofErr w:type="spellStart"/>
      <w:r w:rsidRPr="003F4BD0">
        <w:rPr>
          <w:b/>
          <w:bCs/>
          <w:lang w:val="en-GB"/>
        </w:rPr>
        <w:t>Avrami</w:t>
      </w:r>
      <w:proofErr w:type="spellEnd"/>
      <w:r w:rsidRPr="003F4BD0">
        <w:rPr>
          <w:b/>
          <w:bCs/>
          <w:lang w:val="en-GB"/>
        </w:rPr>
        <w:t xml:space="preserve">, E., et al. (2019). </w:t>
      </w:r>
      <w:r w:rsidRPr="003F4BD0">
        <w:rPr>
          <w:b/>
          <w:bCs/>
          <w:i/>
          <w:iCs/>
          <w:lang w:val="en-GB"/>
        </w:rPr>
        <w:t>Values in Heritage Management</w:t>
      </w:r>
      <w:r w:rsidRPr="003F4BD0">
        <w:rPr>
          <w:b/>
          <w:bCs/>
          <w:lang w:val="en-GB"/>
        </w:rPr>
        <w:t xml:space="preserve">. Getty Conservation Institute. </w:t>
      </w:r>
    </w:p>
    <w:p w14:paraId="776DCC7D" w14:textId="77777777" w:rsidR="004F00A3" w:rsidRDefault="004F00A3" w:rsidP="003F4BD0">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95A531C-87C2-4E58-88DD-1F1D77AC0D1B}"/>
    <w:embedBold r:id="rId2" w:fontKey="{11F1C72A-FF7C-4207-8B00-7A9726643F7D}"/>
    <w:embedBoldItalic r:id="rId3" w:fontKey="{E7F652BF-C1B4-4932-9229-305EAE1F682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5CEEE96-3240-4904-B838-718846CA49F5}"/>
  </w:font>
  <w:font w:name="Calibri Light">
    <w:panose1 w:val="020F0302020204030204"/>
    <w:charset w:val="00"/>
    <w:family w:val="swiss"/>
    <w:pitch w:val="variable"/>
    <w:sig w:usb0="E4002EFF" w:usb1="C000247B" w:usb2="00000009" w:usb3="00000000" w:csb0="000001FF" w:csb1="00000000"/>
    <w:embedRegular r:id="rId5" w:fontKey="{64813234-DE63-4F6A-A46B-95F44828E0F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0166">
    <w:abstractNumId w:val="1"/>
  </w:num>
  <w:num w:numId="2" w16cid:durableId="321082758">
    <w:abstractNumId w:val="0"/>
  </w:num>
  <w:num w:numId="3" w16cid:durableId="1925534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3F4BD0"/>
    <w:rsid w:val="00426865"/>
    <w:rsid w:val="00477CAA"/>
    <w:rsid w:val="004F00A3"/>
    <w:rsid w:val="00502E29"/>
    <w:rsid w:val="005E458B"/>
    <w:rsid w:val="00672345"/>
    <w:rsid w:val="0078667C"/>
    <w:rsid w:val="00844EC2"/>
    <w:rsid w:val="008516FE"/>
    <w:rsid w:val="00942251"/>
    <w:rsid w:val="009C1D0A"/>
    <w:rsid w:val="00A044F7"/>
    <w:rsid w:val="00A8150E"/>
    <w:rsid w:val="00B20343"/>
    <w:rsid w:val="00B85EA7"/>
    <w:rsid w:val="00BE65DD"/>
    <w:rsid w:val="00C50C4A"/>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60226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735</Words>
  <Characters>4193</Characters>
  <Application>Microsoft Office Word</Application>
  <DocSecurity>0</DocSecurity>
  <Lines>34</Lines>
  <Paragraphs>9</Paragraphs>
  <ScaleCrop>false</ScaleCrop>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2026-04-18T12:20:00Z</dcterms:created>
  <dcterms:modified xsi:type="dcterms:W3CDTF">2026-04-18T12:20:00Z</dcterms:modified>
</cp:coreProperties>
</file>