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B976C" w14:textId="77777777" w:rsidR="006664D5" w:rsidRPr="00CC2A71" w:rsidRDefault="006664D5" w:rsidP="006664D5">
      <w:pPr>
        <w:spacing w:line="480" w:lineRule="auto"/>
        <w:jc w:val="center"/>
        <w:rPr>
          <w:rFonts w:ascii="Calibri" w:hAnsi="Calibri" w:cs="Calibri"/>
          <w:b/>
          <w:bCs/>
          <w:color w:val="000000" w:themeColor="text1"/>
          <w:szCs w:val="24"/>
        </w:rPr>
      </w:pPr>
      <w:r w:rsidRPr="00CC2A71">
        <w:rPr>
          <w:rFonts w:ascii="Calibri" w:hAnsi="Calibri" w:cs="Calibri"/>
          <w:b/>
          <w:bCs/>
          <w:noProof/>
          <w:color w:val="000000" w:themeColor="text1"/>
          <w:szCs w:val="24"/>
        </w:rPr>
        <w:drawing>
          <wp:inline distT="0" distB="0" distL="0" distR="0" wp14:anchorId="21C83D12" wp14:editId="19DB978F">
            <wp:extent cx="2648320" cy="743054"/>
            <wp:effectExtent l="0" t="0" r="0" b="0"/>
            <wp:docPr id="1945696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696584" name=""/>
                    <pic:cNvPicPr/>
                  </pic:nvPicPr>
                  <pic:blipFill>
                    <a:blip r:embed="rId4"/>
                    <a:stretch>
                      <a:fillRect/>
                    </a:stretch>
                  </pic:blipFill>
                  <pic:spPr>
                    <a:xfrm>
                      <a:off x="0" y="0"/>
                      <a:ext cx="2648320" cy="743054"/>
                    </a:xfrm>
                    <a:prstGeom prst="rect">
                      <a:avLst/>
                    </a:prstGeom>
                  </pic:spPr>
                </pic:pic>
              </a:graphicData>
            </a:graphic>
          </wp:inline>
        </w:drawing>
      </w:r>
    </w:p>
    <w:p w14:paraId="096CF6A9" w14:textId="77777777" w:rsidR="006664D5" w:rsidRPr="00CC2A71" w:rsidRDefault="006664D5" w:rsidP="006664D5">
      <w:pPr>
        <w:spacing w:line="480" w:lineRule="auto"/>
        <w:jc w:val="center"/>
        <w:rPr>
          <w:rFonts w:ascii="Calibri" w:hAnsi="Calibri" w:cs="Calibri"/>
          <w:b/>
          <w:bCs/>
          <w:color w:val="000000" w:themeColor="text1"/>
          <w:szCs w:val="24"/>
        </w:rPr>
      </w:pPr>
      <w:r w:rsidRPr="00CC2A71">
        <w:rPr>
          <w:rFonts w:ascii="Calibri" w:hAnsi="Calibri" w:cs="Calibri"/>
          <w:b/>
          <w:bCs/>
          <w:color w:val="000000" w:themeColor="text1"/>
          <w:szCs w:val="24"/>
        </w:rPr>
        <w:t xml:space="preserve">Bachelors in tourism and recreation </w:t>
      </w:r>
    </w:p>
    <w:p w14:paraId="343F5E94" w14:textId="77777777" w:rsidR="006664D5" w:rsidRPr="00CC2A71" w:rsidRDefault="006664D5" w:rsidP="006664D5">
      <w:pPr>
        <w:spacing w:line="480" w:lineRule="auto"/>
        <w:jc w:val="center"/>
        <w:rPr>
          <w:rFonts w:ascii="Calibri" w:hAnsi="Calibri" w:cs="Calibri"/>
          <w:b/>
          <w:bCs/>
          <w:color w:val="000000" w:themeColor="text1"/>
          <w:szCs w:val="24"/>
        </w:rPr>
      </w:pPr>
      <w:r w:rsidRPr="00CC2A71">
        <w:rPr>
          <w:rFonts w:ascii="Calibri" w:hAnsi="Calibri" w:cs="Calibri"/>
          <w:b/>
          <w:bCs/>
          <w:color w:val="000000" w:themeColor="text1"/>
          <w:szCs w:val="24"/>
        </w:rPr>
        <w:t>Business Organization and Human Resource Management</w:t>
      </w:r>
    </w:p>
    <w:p w14:paraId="7E1C1B8B" w14:textId="77777777" w:rsidR="006664D5" w:rsidRPr="00CC2A71" w:rsidRDefault="006664D5" w:rsidP="006664D5">
      <w:pPr>
        <w:spacing w:line="480" w:lineRule="auto"/>
        <w:jc w:val="center"/>
        <w:rPr>
          <w:rFonts w:ascii="Calibri" w:hAnsi="Calibri" w:cs="Calibri"/>
          <w:color w:val="000000" w:themeColor="text1"/>
          <w:szCs w:val="24"/>
        </w:rPr>
      </w:pPr>
    </w:p>
    <w:p w14:paraId="1759A427" w14:textId="77777777" w:rsidR="006664D5" w:rsidRPr="00CC2A71" w:rsidRDefault="006664D5" w:rsidP="006664D5">
      <w:pPr>
        <w:spacing w:line="480" w:lineRule="auto"/>
        <w:rPr>
          <w:rFonts w:ascii="Calibri" w:hAnsi="Calibri" w:cs="Calibri"/>
          <w:b/>
          <w:bCs/>
          <w:color w:val="000000" w:themeColor="text1"/>
          <w:szCs w:val="24"/>
        </w:rPr>
      </w:pPr>
      <w:r w:rsidRPr="0054154B">
        <w:rPr>
          <w:rFonts w:ascii="Calibri" w:hAnsi="Calibri" w:cs="Calibri"/>
          <w:color w:val="000000" w:themeColor="text1"/>
          <w:szCs w:val="24"/>
        </w:rPr>
        <w:drawing>
          <wp:inline distT="0" distB="0" distL="0" distR="0" wp14:anchorId="18520F62" wp14:editId="1F24F28D">
            <wp:extent cx="5943600" cy="3526155"/>
            <wp:effectExtent l="0" t="0" r="0" b="0"/>
            <wp:docPr id="1975618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618061" name=""/>
                    <pic:cNvPicPr/>
                  </pic:nvPicPr>
                  <pic:blipFill>
                    <a:blip r:embed="rId5"/>
                    <a:stretch>
                      <a:fillRect/>
                    </a:stretch>
                  </pic:blipFill>
                  <pic:spPr>
                    <a:xfrm>
                      <a:off x="0" y="0"/>
                      <a:ext cx="5943600" cy="3526155"/>
                    </a:xfrm>
                    <a:prstGeom prst="rect">
                      <a:avLst/>
                    </a:prstGeom>
                  </pic:spPr>
                </pic:pic>
              </a:graphicData>
            </a:graphic>
          </wp:inline>
        </w:drawing>
      </w:r>
    </w:p>
    <w:p w14:paraId="64FB1AFF" w14:textId="77777777" w:rsidR="006664D5" w:rsidRPr="00CC2A71" w:rsidRDefault="006664D5" w:rsidP="006664D5">
      <w:pPr>
        <w:spacing w:line="480" w:lineRule="auto"/>
        <w:jc w:val="center"/>
        <w:rPr>
          <w:rFonts w:ascii="Calibri" w:hAnsi="Calibri" w:cs="Calibri"/>
          <w:b/>
          <w:bCs/>
          <w:color w:val="000000" w:themeColor="text1"/>
          <w:szCs w:val="24"/>
        </w:rPr>
      </w:pPr>
    </w:p>
    <w:p w14:paraId="104796A2" w14:textId="77777777" w:rsidR="006664D5" w:rsidRPr="00CC2A71" w:rsidRDefault="006664D5" w:rsidP="006664D5">
      <w:pPr>
        <w:spacing w:line="480" w:lineRule="auto"/>
        <w:jc w:val="center"/>
        <w:rPr>
          <w:rFonts w:ascii="Calibri" w:hAnsi="Calibri" w:cs="Calibri"/>
          <w:b/>
          <w:bCs/>
          <w:color w:val="000000" w:themeColor="text1"/>
          <w:szCs w:val="24"/>
        </w:rPr>
      </w:pPr>
    </w:p>
    <w:p w14:paraId="256A9135" w14:textId="77777777" w:rsidR="006664D5" w:rsidRPr="00CC2A71" w:rsidRDefault="006664D5" w:rsidP="006664D5">
      <w:pPr>
        <w:spacing w:line="480" w:lineRule="auto"/>
        <w:jc w:val="center"/>
        <w:rPr>
          <w:rFonts w:ascii="Calibri" w:hAnsi="Calibri" w:cs="Calibri"/>
          <w:b/>
          <w:bCs/>
          <w:color w:val="000000" w:themeColor="text1"/>
          <w:szCs w:val="24"/>
        </w:rPr>
      </w:pPr>
    </w:p>
    <w:p w14:paraId="3301CFB6" w14:textId="77777777" w:rsidR="006664D5" w:rsidRPr="00CC2A71" w:rsidRDefault="006664D5" w:rsidP="006664D5">
      <w:pPr>
        <w:spacing w:line="480" w:lineRule="auto"/>
        <w:rPr>
          <w:rFonts w:ascii="Calibri" w:hAnsi="Calibri" w:cs="Calibri"/>
          <w:b/>
          <w:bCs/>
          <w:color w:val="000000" w:themeColor="text1"/>
          <w:szCs w:val="24"/>
        </w:rPr>
      </w:pPr>
    </w:p>
    <w:p w14:paraId="678A3BBA" w14:textId="77777777" w:rsidR="006664D5" w:rsidRPr="00CC2A71" w:rsidRDefault="006664D5" w:rsidP="006664D5">
      <w:pPr>
        <w:spacing w:line="480" w:lineRule="auto"/>
        <w:rPr>
          <w:rFonts w:ascii="Calibri" w:hAnsi="Calibri" w:cs="Calibri"/>
          <w:b/>
          <w:bCs/>
          <w:color w:val="000000" w:themeColor="text1"/>
          <w:szCs w:val="24"/>
        </w:rPr>
      </w:pPr>
    </w:p>
    <w:sdt>
      <w:sdtPr>
        <w:rPr>
          <w:rFonts w:ascii="Calibri" w:eastAsiaTheme="minorHAnsi" w:hAnsi="Calibri" w:cs="Calibri"/>
          <w:color w:val="auto"/>
          <w:kern w:val="2"/>
          <w:sz w:val="24"/>
          <w:szCs w:val="21"/>
          <w:lang w:val="en-GB" w:bidi="hi-IN"/>
          <w14:ligatures w14:val="standardContextual"/>
        </w:rPr>
        <w:id w:val="-1538275456"/>
        <w:docPartObj>
          <w:docPartGallery w:val="Table of Contents"/>
          <w:docPartUnique/>
        </w:docPartObj>
      </w:sdtPr>
      <w:sdtEndPr>
        <w:rPr>
          <w:b/>
          <w:bCs/>
          <w:noProof/>
        </w:rPr>
      </w:sdtEndPr>
      <w:sdtContent>
        <w:p w14:paraId="3D223AC4" w14:textId="77777777" w:rsidR="006664D5" w:rsidRPr="00CC2A71" w:rsidRDefault="006664D5" w:rsidP="006664D5">
          <w:pPr>
            <w:pStyle w:val="TOCHeading"/>
            <w:spacing w:line="480" w:lineRule="auto"/>
            <w:rPr>
              <w:rFonts w:ascii="Calibri" w:hAnsi="Calibri" w:cs="Calibri"/>
            </w:rPr>
          </w:pPr>
          <w:r w:rsidRPr="00CC2A71">
            <w:rPr>
              <w:rFonts w:ascii="Calibri" w:hAnsi="Calibri" w:cs="Calibri"/>
            </w:rPr>
            <w:t>Contents</w:t>
          </w:r>
        </w:p>
        <w:p w14:paraId="65355621" w14:textId="77777777" w:rsidR="006664D5" w:rsidRPr="00CC2A71" w:rsidRDefault="006664D5" w:rsidP="006664D5">
          <w:pPr>
            <w:pStyle w:val="TOC1"/>
            <w:tabs>
              <w:tab w:val="right" w:leader="dot" w:pos="9350"/>
            </w:tabs>
            <w:spacing w:line="480" w:lineRule="auto"/>
            <w:rPr>
              <w:rFonts w:ascii="Calibri" w:hAnsi="Calibri" w:cs="Calibri"/>
              <w:noProof/>
            </w:rPr>
          </w:pPr>
          <w:r w:rsidRPr="00CC2A71">
            <w:rPr>
              <w:rFonts w:ascii="Calibri" w:hAnsi="Calibri" w:cs="Calibri"/>
            </w:rPr>
            <w:fldChar w:fldCharType="begin"/>
          </w:r>
          <w:r w:rsidRPr="00CC2A71">
            <w:rPr>
              <w:rFonts w:ascii="Calibri" w:hAnsi="Calibri" w:cs="Calibri"/>
            </w:rPr>
            <w:instrText xml:space="preserve"> TOC \o "1-3" \h \z \u </w:instrText>
          </w:r>
          <w:r w:rsidRPr="00CC2A71">
            <w:rPr>
              <w:rFonts w:ascii="Calibri" w:hAnsi="Calibri" w:cs="Calibri"/>
            </w:rPr>
            <w:fldChar w:fldCharType="separate"/>
          </w:r>
          <w:hyperlink w:anchor="_Toc220957850" w:history="1">
            <w:r w:rsidRPr="00CC2A71">
              <w:rPr>
                <w:rStyle w:val="Hyperlink"/>
                <w:rFonts w:ascii="Calibri" w:hAnsi="Calibri" w:cs="Calibri"/>
                <w:noProof/>
              </w:rPr>
              <w:t>Abstract</w:t>
            </w:r>
            <w:r w:rsidRPr="00CC2A71">
              <w:rPr>
                <w:rFonts w:ascii="Calibri" w:hAnsi="Calibri" w:cs="Calibri"/>
                <w:noProof/>
                <w:webHidden/>
              </w:rPr>
              <w:tab/>
            </w:r>
            <w:r w:rsidRPr="00CC2A71">
              <w:rPr>
                <w:rFonts w:ascii="Calibri" w:hAnsi="Calibri" w:cs="Calibri"/>
                <w:noProof/>
                <w:webHidden/>
              </w:rPr>
              <w:fldChar w:fldCharType="begin"/>
            </w:r>
            <w:r w:rsidRPr="00CC2A71">
              <w:rPr>
                <w:rFonts w:ascii="Calibri" w:hAnsi="Calibri" w:cs="Calibri"/>
                <w:noProof/>
                <w:webHidden/>
              </w:rPr>
              <w:instrText xml:space="preserve"> PAGEREF _Toc220957850 \h </w:instrText>
            </w:r>
            <w:r w:rsidRPr="00CC2A71">
              <w:rPr>
                <w:rFonts w:ascii="Calibri" w:hAnsi="Calibri" w:cs="Calibri"/>
                <w:noProof/>
                <w:webHidden/>
              </w:rPr>
            </w:r>
            <w:r w:rsidRPr="00CC2A71">
              <w:rPr>
                <w:rFonts w:ascii="Calibri" w:hAnsi="Calibri" w:cs="Calibri"/>
                <w:noProof/>
                <w:webHidden/>
              </w:rPr>
              <w:fldChar w:fldCharType="separate"/>
            </w:r>
            <w:r w:rsidRPr="00CC2A71">
              <w:rPr>
                <w:rFonts w:ascii="Calibri" w:hAnsi="Calibri" w:cs="Calibri"/>
                <w:noProof/>
                <w:webHidden/>
              </w:rPr>
              <w:t>3</w:t>
            </w:r>
            <w:r w:rsidRPr="00CC2A71">
              <w:rPr>
                <w:rFonts w:ascii="Calibri" w:hAnsi="Calibri" w:cs="Calibri"/>
                <w:noProof/>
                <w:webHidden/>
              </w:rPr>
              <w:fldChar w:fldCharType="end"/>
            </w:r>
          </w:hyperlink>
        </w:p>
        <w:p w14:paraId="4A362387" w14:textId="77777777" w:rsidR="006664D5" w:rsidRPr="00CC2A71" w:rsidRDefault="006664D5" w:rsidP="006664D5">
          <w:pPr>
            <w:pStyle w:val="TOC1"/>
            <w:tabs>
              <w:tab w:val="right" w:leader="dot" w:pos="9350"/>
            </w:tabs>
            <w:spacing w:line="480" w:lineRule="auto"/>
            <w:rPr>
              <w:rFonts w:ascii="Calibri" w:hAnsi="Calibri" w:cs="Calibri"/>
              <w:noProof/>
            </w:rPr>
          </w:pPr>
          <w:hyperlink w:anchor="_Toc220957851" w:history="1">
            <w:r w:rsidRPr="00CC2A71">
              <w:rPr>
                <w:rStyle w:val="Hyperlink"/>
                <w:rFonts w:ascii="Calibri" w:hAnsi="Calibri" w:cs="Calibri"/>
                <w:noProof/>
              </w:rPr>
              <w:t>Introduction</w:t>
            </w:r>
            <w:r w:rsidRPr="00CC2A71">
              <w:rPr>
                <w:rFonts w:ascii="Calibri" w:hAnsi="Calibri" w:cs="Calibri"/>
                <w:noProof/>
                <w:webHidden/>
              </w:rPr>
              <w:tab/>
            </w:r>
            <w:r w:rsidRPr="00CC2A71">
              <w:rPr>
                <w:rFonts w:ascii="Calibri" w:hAnsi="Calibri" w:cs="Calibri"/>
                <w:noProof/>
                <w:webHidden/>
              </w:rPr>
              <w:fldChar w:fldCharType="begin"/>
            </w:r>
            <w:r w:rsidRPr="00CC2A71">
              <w:rPr>
                <w:rFonts w:ascii="Calibri" w:hAnsi="Calibri" w:cs="Calibri"/>
                <w:noProof/>
                <w:webHidden/>
              </w:rPr>
              <w:instrText xml:space="preserve"> PAGEREF _Toc220957851 \h </w:instrText>
            </w:r>
            <w:r w:rsidRPr="00CC2A71">
              <w:rPr>
                <w:rFonts w:ascii="Calibri" w:hAnsi="Calibri" w:cs="Calibri"/>
                <w:noProof/>
                <w:webHidden/>
              </w:rPr>
            </w:r>
            <w:r w:rsidRPr="00CC2A71">
              <w:rPr>
                <w:rFonts w:ascii="Calibri" w:hAnsi="Calibri" w:cs="Calibri"/>
                <w:noProof/>
                <w:webHidden/>
              </w:rPr>
              <w:fldChar w:fldCharType="separate"/>
            </w:r>
            <w:r w:rsidRPr="00CC2A71">
              <w:rPr>
                <w:rFonts w:ascii="Calibri" w:hAnsi="Calibri" w:cs="Calibri"/>
                <w:noProof/>
                <w:webHidden/>
              </w:rPr>
              <w:t>3</w:t>
            </w:r>
            <w:r w:rsidRPr="00CC2A71">
              <w:rPr>
                <w:rFonts w:ascii="Calibri" w:hAnsi="Calibri" w:cs="Calibri"/>
                <w:noProof/>
                <w:webHidden/>
              </w:rPr>
              <w:fldChar w:fldCharType="end"/>
            </w:r>
          </w:hyperlink>
        </w:p>
        <w:p w14:paraId="19FDCF55" w14:textId="77777777" w:rsidR="006664D5" w:rsidRPr="00CC2A71" w:rsidRDefault="006664D5" w:rsidP="006664D5">
          <w:pPr>
            <w:pStyle w:val="TOC1"/>
            <w:tabs>
              <w:tab w:val="right" w:leader="dot" w:pos="9350"/>
            </w:tabs>
            <w:spacing w:line="480" w:lineRule="auto"/>
            <w:rPr>
              <w:rFonts w:ascii="Calibri" w:hAnsi="Calibri" w:cs="Calibri"/>
              <w:noProof/>
            </w:rPr>
          </w:pPr>
          <w:hyperlink w:anchor="_Toc220957852" w:history="1">
            <w:r w:rsidRPr="00CC2A71">
              <w:rPr>
                <w:rStyle w:val="Hyperlink"/>
                <w:rFonts w:ascii="Calibri" w:hAnsi="Calibri" w:cs="Calibri"/>
                <w:noProof/>
              </w:rPr>
              <w:t>Literature Review</w:t>
            </w:r>
            <w:r w:rsidRPr="00CC2A71">
              <w:rPr>
                <w:rFonts w:ascii="Calibri" w:hAnsi="Calibri" w:cs="Calibri"/>
                <w:noProof/>
                <w:webHidden/>
              </w:rPr>
              <w:tab/>
            </w:r>
            <w:r w:rsidRPr="00CC2A71">
              <w:rPr>
                <w:rFonts w:ascii="Calibri" w:hAnsi="Calibri" w:cs="Calibri"/>
                <w:noProof/>
                <w:webHidden/>
              </w:rPr>
              <w:fldChar w:fldCharType="begin"/>
            </w:r>
            <w:r w:rsidRPr="00CC2A71">
              <w:rPr>
                <w:rFonts w:ascii="Calibri" w:hAnsi="Calibri" w:cs="Calibri"/>
                <w:noProof/>
                <w:webHidden/>
              </w:rPr>
              <w:instrText xml:space="preserve"> PAGEREF _Toc220957852 \h </w:instrText>
            </w:r>
            <w:r w:rsidRPr="00CC2A71">
              <w:rPr>
                <w:rFonts w:ascii="Calibri" w:hAnsi="Calibri" w:cs="Calibri"/>
                <w:noProof/>
                <w:webHidden/>
              </w:rPr>
            </w:r>
            <w:r w:rsidRPr="00CC2A71">
              <w:rPr>
                <w:rFonts w:ascii="Calibri" w:hAnsi="Calibri" w:cs="Calibri"/>
                <w:noProof/>
                <w:webHidden/>
              </w:rPr>
              <w:fldChar w:fldCharType="separate"/>
            </w:r>
            <w:r w:rsidRPr="00CC2A71">
              <w:rPr>
                <w:rFonts w:ascii="Calibri" w:hAnsi="Calibri" w:cs="Calibri"/>
                <w:noProof/>
                <w:webHidden/>
              </w:rPr>
              <w:t>5</w:t>
            </w:r>
            <w:r w:rsidRPr="00CC2A71">
              <w:rPr>
                <w:rFonts w:ascii="Calibri" w:hAnsi="Calibri" w:cs="Calibri"/>
                <w:noProof/>
                <w:webHidden/>
              </w:rPr>
              <w:fldChar w:fldCharType="end"/>
            </w:r>
          </w:hyperlink>
        </w:p>
        <w:p w14:paraId="3907A8D3" w14:textId="77777777" w:rsidR="006664D5" w:rsidRPr="00CC2A71" w:rsidRDefault="006664D5" w:rsidP="006664D5">
          <w:pPr>
            <w:pStyle w:val="TOC1"/>
            <w:tabs>
              <w:tab w:val="right" w:leader="dot" w:pos="9350"/>
            </w:tabs>
            <w:spacing w:line="480" w:lineRule="auto"/>
            <w:rPr>
              <w:rFonts w:ascii="Calibri" w:hAnsi="Calibri" w:cs="Calibri"/>
              <w:noProof/>
            </w:rPr>
          </w:pPr>
          <w:hyperlink w:anchor="_Toc220957853" w:history="1">
            <w:r w:rsidRPr="00CC2A71">
              <w:rPr>
                <w:rStyle w:val="Hyperlink"/>
                <w:rFonts w:ascii="Calibri" w:hAnsi="Calibri" w:cs="Calibri"/>
                <w:b/>
                <w:bCs/>
                <w:noProof/>
              </w:rPr>
              <w:t>Methodology</w:t>
            </w:r>
            <w:r w:rsidRPr="00CC2A71">
              <w:rPr>
                <w:rFonts w:ascii="Calibri" w:hAnsi="Calibri" w:cs="Calibri"/>
                <w:noProof/>
                <w:webHidden/>
              </w:rPr>
              <w:tab/>
            </w:r>
            <w:r w:rsidRPr="00CC2A71">
              <w:rPr>
                <w:rFonts w:ascii="Calibri" w:hAnsi="Calibri" w:cs="Calibri"/>
                <w:noProof/>
                <w:webHidden/>
              </w:rPr>
              <w:fldChar w:fldCharType="begin"/>
            </w:r>
            <w:r w:rsidRPr="00CC2A71">
              <w:rPr>
                <w:rFonts w:ascii="Calibri" w:hAnsi="Calibri" w:cs="Calibri"/>
                <w:noProof/>
                <w:webHidden/>
              </w:rPr>
              <w:instrText xml:space="preserve"> PAGEREF _Toc220957853 \h </w:instrText>
            </w:r>
            <w:r w:rsidRPr="00CC2A71">
              <w:rPr>
                <w:rFonts w:ascii="Calibri" w:hAnsi="Calibri" w:cs="Calibri"/>
                <w:noProof/>
                <w:webHidden/>
              </w:rPr>
            </w:r>
            <w:r w:rsidRPr="00CC2A71">
              <w:rPr>
                <w:rFonts w:ascii="Calibri" w:hAnsi="Calibri" w:cs="Calibri"/>
                <w:noProof/>
                <w:webHidden/>
              </w:rPr>
              <w:fldChar w:fldCharType="separate"/>
            </w:r>
            <w:r w:rsidRPr="00CC2A71">
              <w:rPr>
                <w:rFonts w:ascii="Calibri" w:hAnsi="Calibri" w:cs="Calibri"/>
                <w:noProof/>
                <w:webHidden/>
              </w:rPr>
              <w:t>9</w:t>
            </w:r>
            <w:r w:rsidRPr="00CC2A71">
              <w:rPr>
                <w:rFonts w:ascii="Calibri" w:hAnsi="Calibri" w:cs="Calibri"/>
                <w:noProof/>
                <w:webHidden/>
              </w:rPr>
              <w:fldChar w:fldCharType="end"/>
            </w:r>
          </w:hyperlink>
        </w:p>
        <w:p w14:paraId="75E48249" w14:textId="77777777" w:rsidR="006664D5" w:rsidRPr="00CC2A71" w:rsidRDefault="006664D5" w:rsidP="006664D5">
          <w:pPr>
            <w:pStyle w:val="TOC1"/>
            <w:tabs>
              <w:tab w:val="right" w:leader="dot" w:pos="9350"/>
            </w:tabs>
            <w:spacing w:line="480" w:lineRule="auto"/>
            <w:rPr>
              <w:rFonts w:ascii="Calibri" w:hAnsi="Calibri" w:cs="Calibri"/>
              <w:noProof/>
            </w:rPr>
          </w:pPr>
          <w:hyperlink w:anchor="_Toc220957854" w:history="1">
            <w:r w:rsidRPr="00CC2A71">
              <w:rPr>
                <w:rStyle w:val="Hyperlink"/>
                <w:rFonts w:ascii="Calibri" w:hAnsi="Calibri" w:cs="Calibri"/>
                <w:b/>
                <w:bCs/>
                <w:noProof/>
              </w:rPr>
              <w:t>Findings</w:t>
            </w:r>
            <w:r w:rsidRPr="00CC2A71">
              <w:rPr>
                <w:rFonts w:ascii="Calibri" w:hAnsi="Calibri" w:cs="Calibri"/>
                <w:noProof/>
                <w:webHidden/>
              </w:rPr>
              <w:tab/>
            </w:r>
            <w:r w:rsidRPr="00CC2A71">
              <w:rPr>
                <w:rFonts w:ascii="Calibri" w:hAnsi="Calibri" w:cs="Calibri"/>
                <w:noProof/>
                <w:webHidden/>
              </w:rPr>
              <w:fldChar w:fldCharType="begin"/>
            </w:r>
            <w:r w:rsidRPr="00CC2A71">
              <w:rPr>
                <w:rFonts w:ascii="Calibri" w:hAnsi="Calibri" w:cs="Calibri"/>
                <w:noProof/>
                <w:webHidden/>
              </w:rPr>
              <w:instrText xml:space="preserve"> PAGEREF _Toc220957854 \h </w:instrText>
            </w:r>
            <w:r w:rsidRPr="00CC2A71">
              <w:rPr>
                <w:rFonts w:ascii="Calibri" w:hAnsi="Calibri" w:cs="Calibri"/>
                <w:noProof/>
                <w:webHidden/>
              </w:rPr>
            </w:r>
            <w:r w:rsidRPr="00CC2A71">
              <w:rPr>
                <w:rFonts w:ascii="Calibri" w:hAnsi="Calibri" w:cs="Calibri"/>
                <w:noProof/>
                <w:webHidden/>
              </w:rPr>
              <w:fldChar w:fldCharType="separate"/>
            </w:r>
            <w:r w:rsidRPr="00CC2A71">
              <w:rPr>
                <w:rFonts w:ascii="Calibri" w:hAnsi="Calibri" w:cs="Calibri"/>
                <w:noProof/>
                <w:webHidden/>
              </w:rPr>
              <w:t>10</w:t>
            </w:r>
            <w:r w:rsidRPr="00CC2A71">
              <w:rPr>
                <w:rFonts w:ascii="Calibri" w:hAnsi="Calibri" w:cs="Calibri"/>
                <w:noProof/>
                <w:webHidden/>
              </w:rPr>
              <w:fldChar w:fldCharType="end"/>
            </w:r>
          </w:hyperlink>
        </w:p>
        <w:p w14:paraId="5A673057" w14:textId="77777777" w:rsidR="006664D5" w:rsidRPr="00CC2A71" w:rsidRDefault="006664D5" w:rsidP="006664D5">
          <w:pPr>
            <w:pStyle w:val="TOC1"/>
            <w:tabs>
              <w:tab w:val="right" w:leader="dot" w:pos="9350"/>
            </w:tabs>
            <w:spacing w:line="480" w:lineRule="auto"/>
            <w:rPr>
              <w:rFonts w:ascii="Calibri" w:hAnsi="Calibri" w:cs="Calibri"/>
              <w:noProof/>
            </w:rPr>
          </w:pPr>
          <w:hyperlink w:anchor="_Toc220957855" w:history="1">
            <w:r w:rsidRPr="00CC2A71">
              <w:rPr>
                <w:rStyle w:val="Hyperlink"/>
                <w:rFonts w:ascii="Calibri" w:hAnsi="Calibri" w:cs="Calibri"/>
                <w:noProof/>
              </w:rPr>
              <w:t>Discussion</w:t>
            </w:r>
            <w:r w:rsidRPr="00CC2A71">
              <w:rPr>
                <w:rFonts w:ascii="Calibri" w:hAnsi="Calibri" w:cs="Calibri"/>
                <w:noProof/>
                <w:webHidden/>
              </w:rPr>
              <w:tab/>
            </w:r>
            <w:r w:rsidRPr="00CC2A71">
              <w:rPr>
                <w:rFonts w:ascii="Calibri" w:hAnsi="Calibri" w:cs="Calibri"/>
                <w:noProof/>
                <w:webHidden/>
              </w:rPr>
              <w:fldChar w:fldCharType="begin"/>
            </w:r>
            <w:r w:rsidRPr="00CC2A71">
              <w:rPr>
                <w:rFonts w:ascii="Calibri" w:hAnsi="Calibri" w:cs="Calibri"/>
                <w:noProof/>
                <w:webHidden/>
              </w:rPr>
              <w:instrText xml:space="preserve"> PAGEREF _Toc220957855 \h </w:instrText>
            </w:r>
            <w:r w:rsidRPr="00CC2A71">
              <w:rPr>
                <w:rFonts w:ascii="Calibri" w:hAnsi="Calibri" w:cs="Calibri"/>
                <w:noProof/>
                <w:webHidden/>
              </w:rPr>
            </w:r>
            <w:r w:rsidRPr="00CC2A71">
              <w:rPr>
                <w:rFonts w:ascii="Calibri" w:hAnsi="Calibri" w:cs="Calibri"/>
                <w:noProof/>
                <w:webHidden/>
              </w:rPr>
              <w:fldChar w:fldCharType="separate"/>
            </w:r>
            <w:r w:rsidRPr="00CC2A71">
              <w:rPr>
                <w:rFonts w:ascii="Calibri" w:hAnsi="Calibri" w:cs="Calibri"/>
                <w:noProof/>
                <w:webHidden/>
              </w:rPr>
              <w:t>12</w:t>
            </w:r>
            <w:r w:rsidRPr="00CC2A71">
              <w:rPr>
                <w:rFonts w:ascii="Calibri" w:hAnsi="Calibri" w:cs="Calibri"/>
                <w:noProof/>
                <w:webHidden/>
              </w:rPr>
              <w:fldChar w:fldCharType="end"/>
            </w:r>
          </w:hyperlink>
        </w:p>
        <w:p w14:paraId="43B66354" w14:textId="77777777" w:rsidR="006664D5" w:rsidRPr="00CC2A71" w:rsidRDefault="006664D5" w:rsidP="006664D5">
          <w:pPr>
            <w:pStyle w:val="TOC1"/>
            <w:tabs>
              <w:tab w:val="right" w:leader="dot" w:pos="9350"/>
            </w:tabs>
            <w:spacing w:line="480" w:lineRule="auto"/>
            <w:rPr>
              <w:rFonts w:ascii="Calibri" w:hAnsi="Calibri" w:cs="Calibri"/>
              <w:noProof/>
            </w:rPr>
          </w:pPr>
          <w:hyperlink w:anchor="_Toc220957856" w:history="1">
            <w:r w:rsidRPr="00CC2A71">
              <w:rPr>
                <w:rStyle w:val="Hyperlink"/>
                <w:rFonts w:ascii="Calibri" w:hAnsi="Calibri" w:cs="Calibri"/>
                <w:noProof/>
              </w:rPr>
              <w:t>Conclusion</w:t>
            </w:r>
            <w:r w:rsidRPr="00CC2A71">
              <w:rPr>
                <w:rFonts w:ascii="Calibri" w:hAnsi="Calibri" w:cs="Calibri"/>
                <w:noProof/>
                <w:webHidden/>
              </w:rPr>
              <w:tab/>
            </w:r>
            <w:r w:rsidRPr="00CC2A71">
              <w:rPr>
                <w:rFonts w:ascii="Calibri" w:hAnsi="Calibri" w:cs="Calibri"/>
                <w:noProof/>
                <w:webHidden/>
              </w:rPr>
              <w:fldChar w:fldCharType="begin"/>
            </w:r>
            <w:r w:rsidRPr="00CC2A71">
              <w:rPr>
                <w:rFonts w:ascii="Calibri" w:hAnsi="Calibri" w:cs="Calibri"/>
                <w:noProof/>
                <w:webHidden/>
              </w:rPr>
              <w:instrText xml:space="preserve"> PAGEREF _Toc220957856 \h </w:instrText>
            </w:r>
            <w:r w:rsidRPr="00CC2A71">
              <w:rPr>
                <w:rFonts w:ascii="Calibri" w:hAnsi="Calibri" w:cs="Calibri"/>
                <w:noProof/>
                <w:webHidden/>
              </w:rPr>
            </w:r>
            <w:r w:rsidRPr="00CC2A71">
              <w:rPr>
                <w:rFonts w:ascii="Calibri" w:hAnsi="Calibri" w:cs="Calibri"/>
                <w:noProof/>
                <w:webHidden/>
              </w:rPr>
              <w:fldChar w:fldCharType="separate"/>
            </w:r>
            <w:r w:rsidRPr="00CC2A71">
              <w:rPr>
                <w:rFonts w:ascii="Calibri" w:hAnsi="Calibri" w:cs="Calibri"/>
                <w:noProof/>
                <w:webHidden/>
              </w:rPr>
              <w:t>15</w:t>
            </w:r>
            <w:r w:rsidRPr="00CC2A71">
              <w:rPr>
                <w:rFonts w:ascii="Calibri" w:hAnsi="Calibri" w:cs="Calibri"/>
                <w:noProof/>
                <w:webHidden/>
              </w:rPr>
              <w:fldChar w:fldCharType="end"/>
            </w:r>
          </w:hyperlink>
        </w:p>
        <w:p w14:paraId="470D72AB" w14:textId="77777777" w:rsidR="006664D5" w:rsidRPr="00CC2A71" w:rsidRDefault="006664D5" w:rsidP="006664D5">
          <w:pPr>
            <w:pStyle w:val="TOC1"/>
            <w:tabs>
              <w:tab w:val="right" w:leader="dot" w:pos="9350"/>
            </w:tabs>
            <w:spacing w:line="480" w:lineRule="auto"/>
            <w:rPr>
              <w:rFonts w:ascii="Calibri" w:hAnsi="Calibri" w:cs="Calibri"/>
              <w:noProof/>
            </w:rPr>
          </w:pPr>
          <w:hyperlink w:anchor="_Toc220957857" w:history="1">
            <w:r w:rsidRPr="00CC2A71">
              <w:rPr>
                <w:rStyle w:val="Hyperlink"/>
                <w:rFonts w:ascii="Calibri" w:hAnsi="Calibri" w:cs="Calibri"/>
                <w:noProof/>
              </w:rPr>
              <w:t>References</w:t>
            </w:r>
            <w:r w:rsidRPr="00CC2A71">
              <w:rPr>
                <w:rFonts w:ascii="Calibri" w:hAnsi="Calibri" w:cs="Calibri"/>
                <w:noProof/>
                <w:webHidden/>
              </w:rPr>
              <w:tab/>
            </w:r>
            <w:r w:rsidRPr="00CC2A71">
              <w:rPr>
                <w:rFonts w:ascii="Calibri" w:hAnsi="Calibri" w:cs="Calibri"/>
                <w:noProof/>
                <w:webHidden/>
              </w:rPr>
              <w:fldChar w:fldCharType="begin"/>
            </w:r>
            <w:r w:rsidRPr="00CC2A71">
              <w:rPr>
                <w:rFonts w:ascii="Calibri" w:hAnsi="Calibri" w:cs="Calibri"/>
                <w:noProof/>
                <w:webHidden/>
              </w:rPr>
              <w:instrText xml:space="preserve"> PAGEREF _Toc220957857 \h </w:instrText>
            </w:r>
            <w:r w:rsidRPr="00CC2A71">
              <w:rPr>
                <w:rFonts w:ascii="Calibri" w:hAnsi="Calibri" w:cs="Calibri"/>
                <w:noProof/>
                <w:webHidden/>
              </w:rPr>
            </w:r>
            <w:r w:rsidRPr="00CC2A71">
              <w:rPr>
                <w:rFonts w:ascii="Calibri" w:hAnsi="Calibri" w:cs="Calibri"/>
                <w:noProof/>
                <w:webHidden/>
              </w:rPr>
              <w:fldChar w:fldCharType="separate"/>
            </w:r>
            <w:r w:rsidRPr="00CC2A71">
              <w:rPr>
                <w:rFonts w:ascii="Calibri" w:hAnsi="Calibri" w:cs="Calibri"/>
                <w:noProof/>
                <w:webHidden/>
              </w:rPr>
              <w:t>16</w:t>
            </w:r>
            <w:r w:rsidRPr="00CC2A71">
              <w:rPr>
                <w:rFonts w:ascii="Calibri" w:hAnsi="Calibri" w:cs="Calibri"/>
                <w:noProof/>
                <w:webHidden/>
              </w:rPr>
              <w:fldChar w:fldCharType="end"/>
            </w:r>
          </w:hyperlink>
        </w:p>
        <w:p w14:paraId="69F4EC33" w14:textId="77777777" w:rsidR="006664D5" w:rsidRPr="00CC2A71" w:rsidRDefault="006664D5" w:rsidP="006664D5">
          <w:pPr>
            <w:spacing w:line="480" w:lineRule="auto"/>
            <w:rPr>
              <w:rFonts w:ascii="Calibri" w:hAnsi="Calibri" w:cs="Calibri"/>
            </w:rPr>
          </w:pPr>
          <w:r w:rsidRPr="00CC2A71">
            <w:rPr>
              <w:rFonts w:ascii="Calibri" w:hAnsi="Calibri" w:cs="Calibri"/>
              <w:b/>
              <w:bCs/>
              <w:noProof/>
            </w:rPr>
            <w:fldChar w:fldCharType="end"/>
          </w:r>
        </w:p>
      </w:sdtContent>
    </w:sdt>
    <w:p w14:paraId="741657CF" w14:textId="77777777" w:rsidR="006664D5" w:rsidRDefault="006664D5" w:rsidP="006664D5">
      <w:pPr>
        <w:spacing w:line="480" w:lineRule="auto"/>
        <w:rPr>
          <w:rFonts w:ascii="Calibri" w:hAnsi="Calibri" w:cs="Calibri"/>
          <w:b/>
          <w:bCs/>
          <w:color w:val="000000" w:themeColor="text1"/>
          <w:szCs w:val="24"/>
        </w:rPr>
      </w:pPr>
    </w:p>
    <w:p w14:paraId="0470998A" w14:textId="77777777" w:rsidR="006664D5" w:rsidRDefault="006664D5" w:rsidP="006664D5">
      <w:pPr>
        <w:spacing w:line="480" w:lineRule="auto"/>
        <w:rPr>
          <w:rFonts w:ascii="Calibri" w:hAnsi="Calibri" w:cs="Calibri"/>
          <w:b/>
          <w:bCs/>
          <w:color w:val="000000" w:themeColor="text1"/>
          <w:szCs w:val="24"/>
        </w:rPr>
      </w:pPr>
    </w:p>
    <w:p w14:paraId="30DC1B44" w14:textId="77777777" w:rsidR="006664D5" w:rsidRDefault="006664D5" w:rsidP="006664D5">
      <w:pPr>
        <w:spacing w:line="480" w:lineRule="auto"/>
        <w:rPr>
          <w:rFonts w:ascii="Calibri" w:hAnsi="Calibri" w:cs="Calibri"/>
          <w:b/>
          <w:bCs/>
          <w:color w:val="000000" w:themeColor="text1"/>
          <w:szCs w:val="24"/>
        </w:rPr>
      </w:pPr>
    </w:p>
    <w:p w14:paraId="5CBFDD91" w14:textId="77777777" w:rsidR="006664D5" w:rsidRPr="00CC2A71" w:rsidRDefault="006664D5" w:rsidP="006664D5">
      <w:pPr>
        <w:spacing w:line="480" w:lineRule="auto"/>
        <w:rPr>
          <w:rFonts w:ascii="Calibri" w:hAnsi="Calibri" w:cs="Calibri"/>
          <w:b/>
          <w:bCs/>
          <w:color w:val="000000" w:themeColor="text1"/>
          <w:szCs w:val="24"/>
        </w:rPr>
      </w:pPr>
    </w:p>
    <w:p w14:paraId="1833A6FF" w14:textId="77777777" w:rsidR="006664D5" w:rsidRPr="00CC2A71" w:rsidRDefault="006664D5" w:rsidP="006664D5">
      <w:pPr>
        <w:spacing w:line="480" w:lineRule="auto"/>
        <w:jc w:val="center"/>
        <w:rPr>
          <w:rFonts w:ascii="Calibri" w:hAnsi="Calibri" w:cs="Calibri"/>
          <w:b/>
          <w:bCs/>
          <w:color w:val="000000" w:themeColor="text1"/>
          <w:szCs w:val="24"/>
        </w:rPr>
      </w:pPr>
    </w:p>
    <w:p w14:paraId="434EA3FF" w14:textId="77777777" w:rsidR="006664D5" w:rsidRPr="00CC2A71" w:rsidRDefault="006664D5" w:rsidP="006664D5">
      <w:pPr>
        <w:spacing w:line="480" w:lineRule="auto"/>
        <w:rPr>
          <w:rFonts w:ascii="Calibri" w:hAnsi="Calibri" w:cs="Calibri"/>
          <w:b/>
          <w:bCs/>
          <w:color w:val="000000" w:themeColor="text1"/>
          <w:szCs w:val="24"/>
        </w:rPr>
      </w:pPr>
    </w:p>
    <w:p w14:paraId="3AF63FC2" w14:textId="77777777" w:rsidR="006664D5" w:rsidRPr="00CC2A71" w:rsidRDefault="006664D5" w:rsidP="006664D5">
      <w:pPr>
        <w:pStyle w:val="Heading1"/>
        <w:spacing w:line="480" w:lineRule="auto"/>
        <w:rPr>
          <w:rFonts w:ascii="Calibri" w:hAnsi="Calibri" w:cs="Calibri"/>
          <w:b/>
          <w:bCs/>
          <w:color w:val="000000" w:themeColor="text1"/>
          <w:sz w:val="24"/>
          <w:szCs w:val="24"/>
        </w:rPr>
      </w:pPr>
      <w:bookmarkStart w:id="0" w:name="_Toc220957850"/>
      <w:r w:rsidRPr="00CC2A71">
        <w:rPr>
          <w:rFonts w:ascii="Calibri" w:hAnsi="Calibri" w:cs="Calibri"/>
          <w:b/>
          <w:bCs/>
          <w:color w:val="000000" w:themeColor="text1"/>
          <w:sz w:val="24"/>
          <w:szCs w:val="24"/>
        </w:rPr>
        <w:lastRenderedPageBreak/>
        <w:t>Abstract</w:t>
      </w:r>
      <w:bookmarkEnd w:id="0"/>
      <w:r w:rsidRPr="00CC2A71">
        <w:rPr>
          <w:rFonts w:ascii="Calibri" w:hAnsi="Calibri" w:cs="Calibri"/>
          <w:b/>
          <w:bCs/>
          <w:color w:val="000000" w:themeColor="text1"/>
          <w:sz w:val="24"/>
          <w:szCs w:val="24"/>
        </w:rPr>
        <w:t xml:space="preserve"> </w:t>
      </w:r>
    </w:p>
    <w:p w14:paraId="13F8D251" w14:textId="7B8A30F7" w:rsidR="006664D5" w:rsidRPr="00CC2A71" w:rsidRDefault="006664D5" w:rsidP="006664D5">
      <w:pPr>
        <w:spacing w:line="480" w:lineRule="auto"/>
        <w:rPr>
          <w:rFonts w:ascii="Calibri" w:hAnsi="Calibri" w:cs="Calibri"/>
          <w:color w:val="000000" w:themeColor="text1"/>
          <w:szCs w:val="24"/>
        </w:rPr>
      </w:pPr>
      <w:r w:rsidRPr="006664D5">
        <w:rPr>
          <w:rFonts w:ascii="Calibri" w:hAnsi="Calibri" w:cs="Calibri"/>
          <w:color w:val="000000" w:themeColor="text1"/>
          <w:szCs w:val="24"/>
        </w:rPr>
        <w:t xml:space="preserve">This has seen employee engagement being a key determinant of organizational performance in the hospitality sector where quality of service, customer satisfaction and brand reputation depend directly on the attitude and </w:t>
      </w:r>
      <w:proofErr w:type="spellStart"/>
      <w:r w:rsidRPr="006664D5">
        <w:rPr>
          <w:rFonts w:ascii="Calibri" w:hAnsi="Calibri" w:cs="Calibri"/>
          <w:color w:val="000000" w:themeColor="text1"/>
          <w:szCs w:val="24"/>
        </w:rPr>
        <w:t>behaviors</w:t>
      </w:r>
      <w:proofErr w:type="spellEnd"/>
      <w:r w:rsidRPr="006664D5">
        <w:rPr>
          <w:rFonts w:ascii="Calibri" w:hAnsi="Calibri" w:cs="Calibri"/>
          <w:color w:val="000000" w:themeColor="text1"/>
          <w:szCs w:val="24"/>
        </w:rPr>
        <w:t xml:space="preserve"> of employees. The workforce is highly motivated and engaged and, therefore, requires effective Human Resource Management (HRM) practices due to the high </w:t>
      </w:r>
      <w:proofErr w:type="spellStart"/>
      <w:r w:rsidRPr="006664D5">
        <w:rPr>
          <w:rFonts w:ascii="Calibri" w:hAnsi="Calibri" w:cs="Calibri"/>
          <w:color w:val="000000" w:themeColor="text1"/>
          <w:szCs w:val="24"/>
        </w:rPr>
        <w:t>labor</w:t>
      </w:r>
      <w:proofErr w:type="spellEnd"/>
      <w:r w:rsidRPr="006664D5">
        <w:rPr>
          <w:rFonts w:ascii="Calibri" w:hAnsi="Calibri" w:cs="Calibri"/>
          <w:color w:val="000000" w:themeColor="text1"/>
          <w:szCs w:val="24"/>
        </w:rPr>
        <w:t xml:space="preserve"> intensity, emotional </w:t>
      </w:r>
      <w:proofErr w:type="spellStart"/>
      <w:r w:rsidRPr="006664D5">
        <w:rPr>
          <w:rFonts w:ascii="Calibri" w:hAnsi="Calibri" w:cs="Calibri"/>
          <w:color w:val="000000" w:themeColor="text1"/>
          <w:szCs w:val="24"/>
        </w:rPr>
        <w:t>labor</w:t>
      </w:r>
      <w:proofErr w:type="spellEnd"/>
      <w:r w:rsidRPr="006664D5">
        <w:rPr>
          <w:rFonts w:ascii="Calibri" w:hAnsi="Calibri" w:cs="Calibri"/>
          <w:color w:val="000000" w:themeColor="text1"/>
          <w:szCs w:val="24"/>
        </w:rPr>
        <w:t xml:space="preserve">, </w:t>
      </w:r>
      <w:proofErr w:type="spellStart"/>
      <w:r w:rsidRPr="006664D5">
        <w:rPr>
          <w:rFonts w:ascii="Calibri" w:hAnsi="Calibri" w:cs="Calibri"/>
          <w:color w:val="000000" w:themeColor="text1"/>
          <w:szCs w:val="24"/>
        </w:rPr>
        <w:t>labor</w:t>
      </w:r>
      <w:proofErr w:type="spellEnd"/>
      <w:r w:rsidRPr="006664D5">
        <w:rPr>
          <w:rFonts w:ascii="Calibri" w:hAnsi="Calibri" w:cs="Calibri"/>
          <w:color w:val="000000" w:themeColor="text1"/>
          <w:szCs w:val="24"/>
        </w:rPr>
        <w:t xml:space="preserve"> turnover, and demand variability. This assignment explores the strategic importance of HRM in developing employee engagement in hospitality organizations especially the hotels, resorts and the international global hospitality chains. It investigates the effects of HRM practices, including training and development, performance management, career planning, and employee well-being initiatives on employee satisfaction outcome, employee retention outcome, and service delivery outcome. Moreover, the paper is an analytical review of how leadership styles and supportive work environments influence the engagement of employees and commitment to the organization. The alignment of the HRM strategies with operational objectives of the hospitality industry including service excellence, guest satisfaction, and operational efficiency is also evaluated. Based on empirical studies and industry case studies of hospitality organizations at the forefront, the assignment shows best practices that have been effective in improving employee engagement and organizational performance. Combining both theoretical insights and empirical findings, this paper will show that employee engagement is not a mere HR outcome but an asset that allows hospitality organizations to attain competitive advantage, service consistency and long-term sustainability in the highly competitive global market (Albrecht et al., 2015; Karatepe, 2013</w:t>
      </w:r>
      <w:proofErr w:type="gramStart"/>
      <w:r w:rsidRPr="006664D5">
        <w:rPr>
          <w:rFonts w:ascii="Calibri" w:hAnsi="Calibri" w:cs="Calibri"/>
          <w:color w:val="000000" w:themeColor="text1"/>
          <w:szCs w:val="24"/>
        </w:rPr>
        <w:t>).</w:t>
      </w:r>
      <w:r w:rsidRPr="00CC2A71">
        <w:rPr>
          <w:rFonts w:ascii="Calibri" w:hAnsi="Calibri" w:cs="Calibri"/>
          <w:color w:val="000000" w:themeColor="text1"/>
          <w:szCs w:val="24"/>
        </w:rPr>
        <w:t>.</w:t>
      </w:r>
      <w:proofErr w:type="gramEnd"/>
    </w:p>
    <w:p w14:paraId="4BA922ED" w14:textId="77777777" w:rsidR="006664D5" w:rsidRPr="00CC2A71" w:rsidRDefault="006664D5" w:rsidP="006664D5">
      <w:pPr>
        <w:spacing w:line="480" w:lineRule="auto"/>
        <w:rPr>
          <w:rFonts w:ascii="Calibri" w:hAnsi="Calibri" w:cs="Calibri"/>
          <w:b/>
          <w:bCs/>
          <w:color w:val="000000" w:themeColor="text1"/>
          <w:szCs w:val="24"/>
        </w:rPr>
      </w:pPr>
    </w:p>
    <w:p w14:paraId="32ADAC19" w14:textId="77777777" w:rsidR="006664D5" w:rsidRPr="00CC2A71" w:rsidRDefault="006664D5" w:rsidP="006664D5">
      <w:pPr>
        <w:pStyle w:val="Heading1"/>
        <w:spacing w:line="480" w:lineRule="auto"/>
        <w:rPr>
          <w:rFonts w:ascii="Calibri" w:hAnsi="Calibri" w:cs="Calibri"/>
          <w:b/>
          <w:bCs/>
          <w:color w:val="000000" w:themeColor="text1"/>
          <w:sz w:val="24"/>
          <w:szCs w:val="24"/>
        </w:rPr>
      </w:pPr>
      <w:bookmarkStart w:id="1" w:name="_Toc220957851"/>
      <w:r w:rsidRPr="00CC2A71">
        <w:rPr>
          <w:rFonts w:ascii="Calibri" w:hAnsi="Calibri" w:cs="Calibri"/>
          <w:b/>
          <w:bCs/>
          <w:color w:val="000000" w:themeColor="text1"/>
          <w:sz w:val="24"/>
          <w:szCs w:val="24"/>
        </w:rPr>
        <w:lastRenderedPageBreak/>
        <w:t>Introduction</w:t>
      </w:r>
      <w:bookmarkEnd w:id="1"/>
      <w:r w:rsidRPr="00CC2A71">
        <w:rPr>
          <w:rFonts w:ascii="Calibri" w:hAnsi="Calibri" w:cs="Calibri"/>
          <w:b/>
          <w:bCs/>
          <w:color w:val="000000" w:themeColor="text1"/>
          <w:sz w:val="24"/>
          <w:szCs w:val="24"/>
        </w:rPr>
        <w:t xml:space="preserve"> </w:t>
      </w:r>
    </w:p>
    <w:p w14:paraId="69520F50" w14:textId="38DE82DE" w:rsidR="00084F09" w:rsidRPr="00084F09" w:rsidRDefault="00084F09" w:rsidP="00084F09">
      <w:pPr>
        <w:spacing w:line="480" w:lineRule="auto"/>
        <w:rPr>
          <w:rFonts w:ascii="Calibri" w:hAnsi="Calibri" w:cs="Calibri"/>
          <w:color w:val="000000" w:themeColor="text1"/>
          <w:szCs w:val="24"/>
        </w:rPr>
      </w:pPr>
      <w:r w:rsidRPr="00084F09">
        <w:rPr>
          <w:rFonts w:ascii="Calibri" w:hAnsi="Calibri" w:cs="Calibri"/>
          <w:color w:val="000000" w:themeColor="text1"/>
          <w:szCs w:val="24"/>
        </w:rPr>
        <w:t xml:space="preserve">Hospitality business is basically service based and human relations are a core part of the business </w:t>
      </w:r>
      <w:proofErr w:type="gramStart"/>
      <w:r w:rsidRPr="00084F09">
        <w:rPr>
          <w:rFonts w:ascii="Calibri" w:hAnsi="Calibri" w:cs="Calibri"/>
          <w:color w:val="000000" w:themeColor="text1"/>
          <w:szCs w:val="24"/>
        </w:rPr>
        <w:t>in order to</w:t>
      </w:r>
      <w:proofErr w:type="gramEnd"/>
      <w:r w:rsidRPr="00084F09">
        <w:rPr>
          <w:rFonts w:ascii="Calibri" w:hAnsi="Calibri" w:cs="Calibri"/>
          <w:color w:val="000000" w:themeColor="text1"/>
          <w:szCs w:val="24"/>
        </w:rPr>
        <w:t xml:space="preserve"> bring fond memories to the guests and remain competitive. Contrary to the capital-intensive industries, hospitality organizations rely on the attitude of employees, emotional intelligence, and service </w:t>
      </w:r>
      <w:proofErr w:type="spellStart"/>
      <w:r w:rsidRPr="00084F09">
        <w:rPr>
          <w:rFonts w:ascii="Calibri" w:hAnsi="Calibri" w:cs="Calibri"/>
          <w:color w:val="000000" w:themeColor="text1"/>
          <w:szCs w:val="24"/>
        </w:rPr>
        <w:t>behaviors</w:t>
      </w:r>
      <w:proofErr w:type="spellEnd"/>
      <w:r w:rsidRPr="00084F09">
        <w:rPr>
          <w:rFonts w:ascii="Calibri" w:hAnsi="Calibri" w:cs="Calibri"/>
          <w:color w:val="000000" w:themeColor="text1"/>
          <w:szCs w:val="24"/>
        </w:rPr>
        <w:t xml:space="preserve"> to provide uniform service delivery. Therefore, Human Resource Management (HRM) has a central role in influencing the employee engagement, motivation and performance. Engagement among employees, which is often described as any positive, satisfying, work-related attitude that is expressed through energy, commitment, and focus, has been observed to be one of the main motivational factors to organizational success in service sectors (Schaufeli et al., 2002). When applied to the hospitality sector, engaged employees will tend to provide better service, discretionary effort more, and increased guest satisfaction and loyalty.</w:t>
      </w:r>
    </w:p>
    <w:p w14:paraId="0C226FAB" w14:textId="77777777" w:rsidR="00084F09" w:rsidRPr="00084F09" w:rsidRDefault="00084F09" w:rsidP="00084F09">
      <w:pPr>
        <w:spacing w:line="480" w:lineRule="auto"/>
        <w:rPr>
          <w:rFonts w:ascii="Calibri" w:hAnsi="Calibri" w:cs="Calibri"/>
          <w:color w:val="000000" w:themeColor="text1"/>
          <w:szCs w:val="24"/>
        </w:rPr>
      </w:pPr>
      <w:proofErr w:type="gramStart"/>
      <w:r w:rsidRPr="00084F09">
        <w:rPr>
          <w:rFonts w:ascii="Calibri" w:hAnsi="Calibri" w:cs="Calibri"/>
          <w:color w:val="000000" w:themeColor="text1"/>
          <w:szCs w:val="24"/>
        </w:rPr>
        <w:t>But,</w:t>
      </w:r>
      <w:proofErr w:type="gramEnd"/>
      <w:r w:rsidRPr="00084F09">
        <w:rPr>
          <w:rFonts w:ascii="Calibri" w:hAnsi="Calibri" w:cs="Calibri"/>
          <w:color w:val="000000" w:themeColor="text1"/>
          <w:szCs w:val="24"/>
        </w:rPr>
        <w:t xml:space="preserve"> there is a longstanding HR issue of high turnover, job insecurity, working long hours, emotional </w:t>
      </w:r>
      <w:proofErr w:type="spellStart"/>
      <w:r w:rsidRPr="00084F09">
        <w:rPr>
          <w:rFonts w:ascii="Calibri" w:hAnsi="Calibri" w:cs="Calibri"/>
          <w:color w:val="000000" w:themeColor="text1"/>
          <w:szCs w:val="24"/>
        </w:rPr>
        <w:t>labor</w:t>
      </w:r>
      <w:proofErr w:type="spellEnd"/>
      <w:r w:rsidRPr="00084F09">
        <w:rPr>
          <w:rFonts w:ascii="Calibri" w:hAnsi="Calibri" w:cs="Calibri"/>
          <w:color w:val="000000" w:themeColor="text1"/>
          <w:szCs w:val="24"/>
        </w:rPr>
        <w:t xml:space="preserve"> and lack of career advancement in the hospitality industry. These difficulties </w:t>
      </w:r>
      <w:proofErr w:type="gramStart"/>
      <w:r w:rsidRPr="00084F09">
        <w:rPr>
          <w:rFonts w:ascii="Calibri" w:hAnsi="Calibri" w:cs="Calibri"/>
          <w:color w:val="000000" w:themeColor="text1"/>
          <w:szCs w:val="24"/>
        </w:rPr>
        <w:t>have a tendency to</w:t>
      </w:r>
      <w:proofErr w:type="gramEnd"/>
      <w:r w:rsidRPr="00084F09">
        <w:rPr>
          <w:rFonts w:ascii="Calibri" w:hAnsi="Calibri" w:cs="Calibri"/>
          <w:color w:val="000000" w:themeColor="text1"/>
          <w:szCs w:val="24"/>
        </w:rPr>
        <w:t xml:space="preserve"> affect employee morale and organizational commitment resulting in disengagement and poor service delivery. It has been shown that disengaged hospitality workers tend to experience burnouts, absenteeism, and turnover and this leads to higher cost of recruitment and interruption of service delivery (Karakaya and </w:t>
      </w:r>
      <w:proofErr w:type="spellStart"/>
      <w:r w:rsidRPr="00084F09">
        <w:rPr>
          <w:rFonts w:ascii="Calibri" w:hAnsi="Calibri" w:cs="Calibri"/>
          <w:color w:val="000000" w:themeColor="text1"/>
          <w:szCs w:val="24"/>
        </w:rPr>
        <w:t>Uludan</w:t>
      </w:r>
      <w:proofErr w:type="spellEnd"/>
      <w:r w:rsidRPr="00084F09">
        <w:rPr>
          <w:rFonts w:ascii="Calibri" w:hAnsi="Calibri" w:cs="Calibri"/>
          <w:color w:val="000000" w:themeColor="text1"/>
          <w:szCs w:val="24"/>
        </w:rPr>
        <w:t>, 2007). Hospitality organizations are, therefore, forced to embrace strategic HRM strategies that focus on employee engagement and well-being over operational efficiency.</w:t>
      </w:r>
    </w:p>
    <w:p w14:paraId="2022B369" w14:textId="77777777" w:rsidR="00084F09" w:rsidRPr="00084F09" w:rsidRDefault="00084F09" w:rsidP="00084F09">
      <w:pPr>
        <w:spacing w:line="480" w:lineRule="auto"/>
        <w:rPr>
          <w:rFonts w:ascii="Calibri" w:hAnsi="Calibri" w:cs="Calibri"/>
          <w:color w:val="000000" w:themeColor="text1"/>
          <w:szCs w:val="24"/>
        </w:rPr>
      </w:pPr>
    </w:p>
    <w:p w14:paraId="18380B4F" w14:textId="4B4F62C1" w:rsidR="00084F09" w:rsidRPr="00084F09" w:rsidRDefault="00084F09" w:rsidP="00084F09">
      <w:pPr>
        <w:spacing w:line="480" w:lineRule="auto"/>
        <w:rPr>
          <w:rFonts w:ascii="Calibri" w:hAnsi="Calibri" w:cs="Calibri"/>
          <w:color w:val="000000" w:themeColor="text1"/>
          <w:szCs w:val="24"/>
        </w:rPr>
      </w:pPr>
      <w:r w:rsidRPr="00084F09">
        <w:rPr>
          <w:rFonts w:ascii="Calibri" w:hAnsi="Calibri" w:cs="Calibri"/>
          <w:color w:val="000000" w:themeColor="text1"/>
          <w:szCs w:val="24"/>
        </w:rPr>
        <w:lastRenderedPageBreak/>
        <w:t xml:space="preserve">Some of the HRM practices that play a significant role in improving employee engagement in an organization are training and development, performance appraisal, rewards and recognition as well as career development. On-going training enables employees to have the skills and confidence to work </w:t>
      </w:r>
      <w:proofErr w:type="gramStart"/>
      <w:r w:rsidRPr="00084F09">
        <w:rPr>
          <w:rFonts w:ascii="Calibri" w:hAnsi="Calibri" w:cs="Calibri"/>
          <w:color w:val="000000" w:themeColor="text1"/>
          <w:szCs w:val="24"/>
        </w:rPr>
        <w:t>effectively</w:t>
      </w:r>
      <w:proofErr w:type="gramEnd"/>
      <w:r w:rsidRPr="00084F09">
        <w:rPr>
          <w:rFonts w:ascii="Calibri" w:hAnsi="Calibri" w:cs="Calibri"/>
          <w:color w:val="000000" w:themeColor="text1"/>
          <w:szCs w:val="24"/>
        </w:rPr>
        <w:t xml:space="preserve"> and transparent performance management systems create the impression of fairness and motivation (</w:t>
      </w:r>
      <w:proofErr w:type="spellStart"/>
      <w:r w:rsidRPr="00084F09">
        <w:rPr>
          <w:rFonts w:ascii="Calibri" w:hAnsi="Calibri" w:cs="Calibri"/>
          <w:color w:val="000000" w:themeColor="text1"/>
          <w:szCs w:val="24"/>
        </w:rPr>
        <w:t>Boselie</w:t>
      </w:r>
      <w:proofErr w:type="spellEnd"/>
      <w:r w:rsidRPr="00084F09">
        <w:rPr>
          <w:rFonts w:ascii="Calibri" w:hAnsi="Calibri" w:cs="Calibri"/>
          <w:color w:val="000000" w:themeColor="text1"/>
          <w:szCs w:val="24"/>
        </w:rPr>
        <w:t xml:space="preserve"> et al., 2005). Career development also boosts the commitment of employees by indicating that employees are long-term invested in their career development. Such HR practices are highly associated with service delivery and customer satisfaction in the hospitality environment where frontline employees have direct effect on </w:t>
      </w:r>
      <w:proofErr w:type="gramStart"/>
      <w:r w:rsidRPr="00084F09">
        <w:rPr>
          <w:rFonts w:ascii="Calibri" w:hAnsi="Calibri" w:cs="Calibri"/>
          <w:color w:val="000000" w:themeColor="text1"/>
          <w:szCs w:val="24"/>
        </w:rPr>
        <w:t>guests</w:t>
      </w:r>
      <w:proofErr w:type="gramEnd"/>
      <w:r w:rsidRPr="00084F09">
        <w:rPr>
          <w:rFonts w:ascii="Calibri" w:hAnsi="Calibri" w:cs="Calibri"/>
          <w:color w:val="000000" w:themeColor="text1"/>
          <w:szCs w:val="24"/>
        </w:rPr>
        <w:t xml:space="preserve"> perceptions.</w:t>
      </w:r>
    </w:p>
    <w:p w14:paraId="39169743" w14:textId="77777777" w:rsidR="00084F09" w:rsidRPr="00084F09" w:rsidRDefault="00084F09" w:rsidP="00084F09">
      <w:pPr>
        <w:spacing w:line="480" w:lineRule="auto"/>
        <w:rPr>
          <w:rFonts w:ascii="Calibri" w:hAnsi="Calibri" w:cs="Calibri"/>
          <w:color w:val="000000" w:themeColor="text1"/>
          <w:szCs w:val="24"/>
        </w:rPr>
      </w:pPr>
      <w:r w:rsidRPr="00084F09">
        <w:rPr>
          <w:rFonts w:ascii="Calibri" w:hAnsi="Calibri" w:cs="Calibri"/>
          <w:color w:val="000000" w:themeColor="text1"/>
          <w:szCs w:val="24"/>
        </w:rPr>
        <w:t>The style of leadership is another factor that contributes to employee engagement in hospitality organizations. It has been demonstrated that transformational and supportive leadership styles lead to the development of trust, psychological safety, and empowerment in staff members, thus increasing the level of engagement (</w:t>
      </w:r>
      <w:proofErr w:type="spellStart"/>
      <w:r w:rsidRPr="00084F09">
        <w:rPr>
          <w:rFonts w:ascii="Calibri" w:hAnsi="Calibri" w:cs="Calibri"/>
          <w:color w:val="000000" w:themeColor="text1"/>
          <w:szCs w:val="24"/>
        </w:rPr>
        <w:t>Breevaart</w:t>
      </w:r>
      <w:proofErr w:type="spellEnd"/>
      <w:r w:rsidRPr="00084F09">
        <w:rPr>
          <w:rFonts w:ascii="Calibri" w:hAnsi="Calibri" w:cs="Calibri"/>
          <w:color w:val="000000" w:themeColor="text1"/>
          <w:szCs w:val="24"/>
        </w:rPr>
        <w:t xml:space="preserve"> et al., 2014). On the contrary, authoritarian or transactional leadership styles can only worsen stress and emotional burnout especially in high-pressure hospitality settings. Moreover, initiatives designed to promote employee well-being, such as work-life balance policies, mental health support, and inclusive workplace practices have become </w:t>
      </w:r>
      <w:proofErr w:type="gramStart"/>
      <w:r w:rsidRPr="00084F09">
        <w:rPr>
          <w:rFonts w:ascii="Calibri" w:hAnsi="Calibri" w:cs="Calibri"/>
          <w:color w:val="000000" w:themeColor="text1"/>
          <w:szCs w:val="24"/>
        </w:rPr>
        <w:t>more and more</w:t>
      </w:r>
      <w:proofErr w:type="gramEnd"/>
      <w:r w:rsidRPr="00084F09">
        <w:rPr>
          <w:rFonts w:ascii="Calibri" w:hAnsi="Calibri" w:cs="Calibri"/>
          <w:color w:val="000000" w:themeColor="text1"/>
          <w:szCs w:val="24"/>
        </w:rPr>
        <w:t xml:space="preserve"> relevant in the context of burnout and long-term engagement.</w:t>
      </w:r>
    </w:p>
    <w:p w14:paraId="32B5BCB5" w14:textId="77777777" w:rsidR="00084F09" w:rsidRPr="00084F09" w:rsidRDefault="00084F09" w:rsidP="00084F09">
      <w:pPr>
        <w:spacing w:line="480" w:lineRule="auto"/>
        <w:rPr>
          <w:rFonts w:ascii="Calibri" w:hAnsi="Calibri" w:cs="Calibri"/>
          <w:color w:val="000000" w:themeColor="text1"/>
          <w:szCs w:val="24"/>
        </w:rPr>
      </w:pPr>
    </w:p>
    <w:p w14:paraId="204B9D4E" w14:textId="01153DA8" w:rsidR="006664D5" w:rsidRPr="00CC2A71" w:rsidRDefault="00084F09" w:rsidP="00084F09">
      <w:pPr>
        <w:spacing w:line="480" w:lineRule="auto"/>
        <w:rPr>
          <w:rFonts w:ascii="Calibri" w:hAnsi="Calibri" w:cs="Calibri"/>
          <w:b/>
          <w:bCs/>
          <w:color w:val="000000" w:themeColor="text1"/>
          <w:szCs w:val="24"/>
        </w:rPr>
      </w:pPr>
      <w:r w:rsidRPr="00084F09">
        <w:rPr>
          <w:rFonts w:ascii="Calibri" w:hAnsi="Calibri" w:cs="Calibri"/>
          <w:color w:val="000000" w:themeColor="text1"/>
          <w:szCs w:val="24"/>
        </w:rPr>
        <w:t xml:space="preserve">HRM strategies should be anchored to the strategic goals of hospitality organizations </w:t>
      </w:r>
      <w:proofErr w:type="gramStart"/>
      <w:r w:rsidRPr="00084F09">
        <w:rPr>
          <w:rFonts w:ascii="Calibri" w:hAnsi="Calibri" w:cs="Calibri"/>
          <w:color w:val="000000" w:themeColor="text1"/>
          <w:szCs w:val="24"/>
        </w:rPr>
        <w:t>in order to</w:t>
      </w:r>
      <w:proofErr w:type="gramEnd"/>
      <w:r w:rsidRPr="00084F09">
        <w:rPr>
          <w:rFonts w:ascii="Calibri" w:hAnsi="Calibri" w:cs="Calibri"/>
          <w:color w:val="000000" w:themeColor="text1"/>
          <w:szCs w:val="24"/>
        </w:rPr>
        <w:t xml:space="preserve"> deliver efficiency in operations and long-term performance. Employees who are engaged also </w:t>
      </w:r>
      <w:r w:rsidRPr="00084F09">
        <w:rPr>
          <w:rFonts w:ascii="Calibri" w:hAnsi="Calibri" w:cs="Calibri"/>
          <w:color w:val="000000" w:themeColor="text1"/>
          <w:szCs w:val="24"/>
        </w:rPr>
        <w:lastRenderedPageBreak/>
        <w:t xml:space="preserve">help reduce the turnover rates, service consistency, and the experiences provided to guests, and all these factors are key success factors of the hospitality industry. It is proven that the investment in people-oriented HRM practices results in the measurable returns in the employee and customer outcomes as demonstrated by leading hospitality organizations. Consequently, this assignment aims to critically </w:t>
      </w:r>
      <w:proofErr w:type="spellStart"/>
      <w:r w:rsidRPr="00084F09">
        <w:rPr>
          <w:rFonts w:ascii="Calibri" w:hAnsi="Calibri" w:cs="Calibri"/>
          <w:color w:val="000000" w:themeColor="text1"/>
          <w:szCs w:val="24"/>
        </w:rPr>
        <w:t>analyze</w:t>
      </w:r>
      <w:proofErr w:type="spellEnd"/>
      <w:r w:rsidRPr="00084F09">
        <w:rPr>
          <w:rFonts w:ascii="Calibri" w:hAnsi="Calibri" w:cs="Calibri"/>
          <w:color w:val="000000" w:themeColor="text1"/>
          <w:szCs w:val="24"/>
        </w:rPr>
        <w:t xml:space="preserve"> the contribution of HRM to employee engagement in hospitality industry, discuss the role of HR practices and leadership in employee outcomes, and review real-life case studies that exemplify best practices in employee engagement.</w:t>
      </w:r>
    </w:p>
    <w:p w14:paraId="0FDE88EA" w14:textId="77777777" w:rsidR="006664D5" w:rsidRPr="00CC2A71" w:rsidRDefault="006664D5" w:rsidP="006664D5">
      <w:pPr>
        <w:spacing w:line="480" w:lineRule="auto"/>
        <w:rPr>
          <w:rFonts w:ascii="Calibri" w:hAnsi="Calibri" w:cs="Calibri"/>
          <w:b/>
          <w:bCs/>
          <w:color w:val="000000" w:themeColor="text1"/>
          <w:szCs w:val="24"/>
        </w:rPr>
      </w:pPr>
    </w:p>
    <w:p w14:paraId="673728BC" w14:textId="77777777" w:rsidR="006664D5" w:rsidRPr="00CC2A71" w:rsidRDefault="006664D5" w:rsidP="006664D5">
      <w:pPr>
        <w:spacing w:line="480" w:lineRule="auto"/>
        <w:rPr>
          <w:rFonts w:ascii="Calibri" w:hAnsi="Calibri" w:cs="Calibri"/>
          <w:b/>
          <w:bCs/>
          <w:color w:val="000000" w:themeColor="text1"/>
          <w:szCs w:val="24"/>
        </w:rPr>
      </w:pPr>
    </w:p>
    <w:p w14:paraId="4A22A92F" w14:textId="77777777" w:rsidR="006664D5" w:rsidRDefault="006664D5" w:rsidP="006664D5">
      <w:pPr>
        <w:spacing w:line="480" w:lineRule="auto"/>
        <w:rPr>
          <w:rFonts w:ascii="Calibri" w:hAnsi="Calibri" w:cs="Calibri"/>
          <w:b/>
          <w:bCs/>
          <w:color w:val="000000" w:themeColor="text1"/>
          <w:szCs w:val="24"/>
        </w:rPr>
      </w:pPr>
    </w:p>
    <w:p w14:paraId="1F2990D0" w14:textId="77777777" w:rsidR="00084F09" w:rsidRDefault="00084F09" w:rsidP="006664D5">
      <w:pPr>
        <w:spacing w:line="480" w:lineRule="auto"/>
        <w:rPr>
          <w:rFonts w:ascii="Calibri" w:hAnsi="Calibri" w:cs="Calibri"/>
          <w:b/>
          <w:bCs/>
          <w:color w:val="000000" w:themeColor="text1"/>
          <w:szCs w:val="24"/>
        </w:rPr>
      </w:pPr>
    </w:p>
    <w:p w14:paraId="13D256D4" w14:textId="77777777" w:rsidR="00084F09" w:rsidRDefault="00084F09" w:rsidP="006664D5">
      <w:pPr>
        <w:spacing w:line="480" w:lineRule="auto"/>
        <w:rPr>
          <w:rFonts w:ascii="Calibri" w:hAnsi="Calibri" w:cs="Calibri"/>
          <w:b/>
          <w:bCs/>
          <w:color w:val="000000" w:themeColor="text1"/>
          <w:szCs w:val="24"/>
        </w:rPr>
      </w:pPr>
    </w:p>
    <w:p w14:paraId="1B14DAD8" w14:textId="77777777" w:rsidR="00084F09" w:rsidRDefault="00084F09" w:rsidP="006664D5">
      <w:pPr>
        <w:spacing w:line="480" w:lineRule="auto"/>
        <w:rPr>
          <w:rFonts w:ascii="Calibri" w:hAnsi="Calibri" w:cs="Calibri"/>
          <w:b/>
          <w:bCs/>
          <w:color w:val="000000" w:themeColor="text1"/>
          <w:szCs w:val="24"/>
        </w:rPr>
      </w:pPr>
    </w:p>
    <w:p w14:paraId="7BD5C095" w14:textId="77777777" w:rsidR="00084F09" w:rsidRDefault="00084F09" w:rsidP="006664D5">
      <w:pPr>
        <w:spacing w:line="480" w:lineRule="auto"/>
        <w:rPr>
          <w:rFonts w:ascii="Calibri" w:hAnsi="Calibri" w:cs="Calibri"/>
          <w:b/>
          <w:bCs/>
          <w:color w:val="000000" w:themeColor="text1"/>
          <w:szCs w:val="24"/>
        </w:rPr>
      </w:pPr>
    </w:p>
    <w:p w14:paraId="004F7344" w14:textId="77777777" w:rsidR="00084F09" w:rsidRPr="00CC2A71" w:rsidRDefault="00084F09" w:rsidP="006664D5">
      <w:pPr>
        <w:spacing w:line="480" w:lineRule="auto"/>
        <w:rPr>
          <w:rFonts w:ascii="Calibri" w:hAnsi="Calibri" w:cs="Calibri"/>
          <w:b/>
          <w:bCs/>
          <w:color w:val="000000" w:themeColor="text1"/>
          <w:szCs w:val="24"/>
        </w:rPr>
      </w:pPr>
    </w:p>
    <w:p w14:paraId="2EC157B4" w14:textId="77777777" w:rsidR="006664D5" w:rsidRDefault="006664D5" w:rsidP="006664D5">
      <w:pPr>
        <w:spacing w:line="480" w:lineRule="auto"/>
        <w:rPr>
          <w:rFonts w:ascii="Calibri" w:hAnsi="Calibri" w:cs="Calibri"/>
          <w:b/>
          <w:bCs/>
          <w:color w:val="000000" w:themeColor="text1"/>
          <w:szCs w:val="24"/>
        </w:rPr>
      </w:pPr>
    </w:p>
    <w:p w14:paraId="65C1C91D" w14:textId="77777777" w:rsidR="00A32DCC" w:rsidRDefault="00A32DCC" w:rsidP="006664D5">
      <w:pPr>
        <w:spacing w:line="480" w:lineRule="auto"/>
        <w:rPr>
          <w:rFonts w:ascii="Calibri" w:hAnsi="Calibri" w:cs="Calibri"/>
          <w:b/>
          <w:bCs/>
          <w:color w:val="000000" w:themeColor="text1"/>
          <w:szCs w:val="24"/>
        </w:rPr>
      </w:pPr>
    </w:p>
    <w:p w14:paraId="6CDEDDB3" w14:textId="77777777" w:rsidR="00A32DCC" w:rsidRPr="00CC2A71" w:rsidRDefault="00A32DCC" w:rsidP="006664D5">
      <w:pPr>
        <w:spacing w:line="480" w:lineRule="auto"/>
        <w:rPr>
          <w:rFonts w:ascii="Calibri" w:hAnsi="Calibri" w:cs="Calibri"/>
          <w:b/>
          <w:bCs/>
          <w:color w:val="000000" w:themeColor="text1"/>
          <w:szCs w:val="24"/>
        </w:rPr>
      </w:pPr>
    </w:p>
    <w:p w14:paraId="4A4E4FE2" w14:textId="77777777" w:rsidR="006664D5" w:rsidRPr="00CC2A71" w:rsidRDefault="006664D5" w:rsidP="006664D5">
      <w:pPr>
        <w:pStyle w:val="Heading1"/>
        <w:spacing w:line="480" w:lineRule="auto"/>
        <w:rPr>
          <w:rFonts w:ascii="Calibri" w:hAnsi="Calibri" w:cs="Calibri"/>
          <w:b/>
          <w:bCs/>
          <w:color w:val="000000" w:themeColor="text1"/>
          <w:sz w:val="24"/>
          <w:szCs w:val="24"/>
        </w:rPr>
      </w:pPr>
      <w:bookmarkStart w:id="2" w:name="_Toc220957852"/>
      <w:r w:rsidRPr="00CC2A71">
        <w:rPr>
          <w:rFonts w:ascii="Calibri" w:hAnsi="Calibri" w:cs="Calibri"/>
          <w:b/>
          <w:bCs/>
          <w:color w:val="000000" w:themeColor="text1"/>
          <w:sz w:val="24"/>
          <w:szCs w:val="24"/>
        </w:rPr>
        <w:lastRenderedPageBreak/>
        <w:t>Literature Review</w:t>
      </w:r>
      <w:bookmarkEnd w:id="2"/>
    </w:p>
    <w:p w14:paraId="4B8BBCC4" w14:textId="6A371589" w:rsidR="008E77E5" w:rsidRPr="008E77E5" w:rsidRDefault="008E77E5" w:rsidP="008E77E5">
      <w:pPr>
        <w:spacing w:line="480" w:lineRule="auto"/>
        <w:rPr>
          <w:rFonts w:ascii="Calibri" w:hAnsi="Calibri" w:cs="Calibri"/>
          <w:b/>
          <w:bCs/>
          <w:color w:val="000000" w:themeColor="text1"/>
          <w:szCs w:val="24"/>
        </w:rPr>
      </w:pPr>
      <w:r w:rsidRPr="008E77E5">
        <w:rPr>
          <w:rFonts w:ascii="Calibri" w:hAnsi="Calibri" w:cs="Calibri"/>
          <w:b/>
          <w:bCs/>
          <w:color w:val="000000" w:themeColor="text1"/>
          <w:szCs w:val="24"/>
        </w:rPr>
        <w:t>Employee Engagement as a Concept in the Hospitality Industry.</w:t>
      </w:r>
    </w:p>
    <w:p w14:paraId="7BC84F64" w14:textId="7C5E3F26" w:rsidR="008E77E5" w:rsidRPr="008E77E5" w:rsidRDefault="008E77E5" w:rsidP="008E77E5">
      <w:pPr>
        <w:spacing w:line="480" w:lineRule="auto"/>
        <w:rPr>
          <w:rFonts w:ascii="Calibri" w:hAnsi="Calibri" w:cs="Calibri"/>
          <w:color w:val="000000" w:themeColor="text1"/>
          <w:szCs w:val="24"/>
        </w:rPr>
      </w:pPr>
      <w:r w:rsidRPr="008E77E5">
        <w:rPr>
          <w:rFonts w:ascii="Calibri" w:hAnsi="Calibri" w:cs="Calibri"/>
          <w:color w:val="000000" w:themeColor="text1"/>
          <w:szCs w:val="24"/>
        </w:rPr>
        <w:t xml:space="preserve">Employee engagement is now a focal point of literature in human resource and organizational </w:t>
      </w:r>
      <w:proofErr w:type="spellStart"/>
      <w:r w:rsidRPr="008E77E5">
        <w:rPr>
          <w:rFonts w:ascii="Calibri" w:hAnsi="Calibri" w:cs="Calibri"/>
          <w:color w:val="000000" w:themeColor="text1"/>
          <w:szCs w:val="24"/>
        </w:rPr>
        <w:t>behavior</w:t>
      </w:r>
      <w:proofErr w:type="spellEnd"/>
      <w:r w:rsidRPr="008E77E5">
        <w:rPr>
          <w:rFonts w:ascii="Calibri" w:hAnsi="Calibri" w:cs="Calibri"/>
          <w:color w:val="000000" w:themeColor="text1"/>
          <w:szCs w:val="24"/>
        </w:rPr>
        <w:t xml:space="preserve">, especially in service-based industries like hospitality. Engagement has been widely understood as a good, satisfying work-related psychological condition of </w:t>
      </w:r>
      <w:proofErr w:type="spellStart"/>
      <w:r w:rsidRPr="008E77E5">
        <w:rPr>
          <w:rFonts w:ascii="Calibri" w:hAnsi="Calibri" w:cs="Calibri"/>
          <w:color w:val="000000" w:themeColor="text1"/>
          <w:szCs w:val="24"/>
        </w:rPr>
        <w:t>vigor</w:t>
      </w:r>
      <w:proofErr w:type="spellEnd"/>
      <w:r w:rsidRPr="008E77E5">
        <w:rPr>
          <w:rFonts w:ascii="Calibri" w:hAnsi="Calibri" w:cs="Calibri"/>
          <w:color w:val="000000" w:themeColor="text1"/>
          <w:szCs w:val="24"/>
        </w:rPr>
        <w:t xml:space="preserve">, commitment, and involvement (Schaufeli et al., 2002). Employee engagement is the active and motivational relationship to working positions in contrast to job satisfaction, which speaks of passive contentment. It is especially important in the hospitality industry context, where employees communicate with guests regularly, since emotional </w:t>
      </w:r>
      <w:proofErr w:type="spellStart"/>
      <w:r w:rsidRPr="008E77E5">
        <w:rPr>
          <w:rFonts w:ascii="Calibri" w:hAnsi="Calibri" w:cs="Calibri"/>
          <w:color w:val="000000" w:themeColor="text1"/>
          <w:szCs w:val="24"/>
        </w:rPr>
        <w:t>labor</w:t>
      </w:r>
      <w:proofErr w:type="spellEnd"/>
      <w:r w:rsidRPr="008E77E5">
        <w:rPr>
          <w:rFonts w:ascii="Calibri" w:hAnsi="Calibri" w:cs="Calibri"/>
          <w:color w:val="000000" w:themeColor="text1"/>
          <w:szCs w:val="24"/>
        </w:rPr>
        <w:t xml:space="preserve"> and service </w:t>
      </w:r>
      <w:proofErr w:type="spellStart"/>
      <w:r w:rsidRPr="008E77E5">
        <w:rPr>
          <w:rFonts w:ascii="Calibri" w:hAnsi="Calibri" w:cs="Calibri"/>
          <w:color w:val="000000" w:themeColor="text1"/>
          <w:szCs w:val="24"/>
        </w:rPr>
        <w:t>behaviors</w:t>
      </w:r>
      <w:proofErr w:type="spellEnd"/>
      <w:r w:rsidRPr="008E77E5">
        <w:rPr>
          <w:rFonts w:ascii="Calibri" w:hAnsi="Calibri" w:cs="Calibri"/>
          <w:color w:val="000000" w:themeColor="text1"/>
          <w:szCs w:val="24"/>
        </w:rPr>
        <w:t xml:space="preserve"> are directly linked to perceptions of customers and organizational performance</w:t>
      </w:r>
    </w:p>
    <w:p w14:paraId="4E9A9F32" w14:textId="77777777" w:rsidR="008E77E5" w:rsidRPr="008E77E5" w:rsidRDefault="008E77E5" w:rsidP="008E77E5">
      <w:pPr>
        <w:spacing w:line="480" w:lineRule="auto"/>
        <w:rPr>
          <w:rFonts w:ascii="Calibri" w:hAnsi="Calibri" w:cs="Calibri"/>
          <w:color w:val="000000" w:themeColor="text1"/>
          <w:szCs w:val="24"/>
        </w:rPr>
      </w:pPr>
      <w:r w:rsidRPr="008E77E5">
        <w:rPr>
          <w:rFonts w:ascii="Calibri" w:hAnsi="Calibri" w:cs="Calibri"/>
          <w:color w:val="000000" w:themeColor="text1"/>
          <w:szCs w:val="24"/>
        </w:rPr>
        <w:t xml:space="preserve">Employment in the hospitality industry is distinctive due to long working hours, emotional </w:t>
      </w:r>
      <w:proofErr w:type="spellStart"/>
      <w:r w:rsidRPr="008E77E5">
        <w:rPr>
          <w:rFonts w:ascii="Calibri" w:hAnsi="Calibri" w:cs="Calibri"/>
          <w:color w:val="000000" w:themeColor="text1"/>
          <w:szCs w:val="24"/>
        </w:rPr>
        <w:t>labor</w:t>
      </w:r>
      <w:proofErr w:type="spellEnd"/>
      <w:r w:rsidRPr="008E77E5">
        <w:rPr>
          <w:rFonts w:ascii="Calibri" w:hAnsi="Calibri" w:cs="Calibri"/>
          <w:color w:val="000000" w:themeColor="text1"/>
          <w:szCs w:val="24"/>
        </w:rPr>
        <w:t xml:space="preserve">, seasonal employment and high </w:t>
      </w:r>
      <w:proofErr w:type="spellStart"/>
      <w:r w:rsidRPr="008E77E5">
        <w:rPr>
          <w:rFonts w:ascii="Calibri" w:hAnsi="Calibri" w:cs="Calibri"/>
          <w:color w:val="000000" w:themeColor="text1"/>
          <w:szCs w:val="24"/>
        </w:rPr>
        <w:t>labor</w:t>
      </w:r>
      <w:proofErr w:type="spellEnd"/>
      <w:r w:rsidRPr="008E77E5">
        <w:rPr>
          <w:rFonts w:ascii="Calibri" w:hAnsi="Calibri" w:cs="Calibri"/>
          <w:color w:val="000000" w:themeColor="text1"/>
          <w:szCs w:val="24"/>
        </w:rPr>
        <w:t xml:space="preserve"> mobility. These realities render it difficult and critical to maintain employee engagement. Studies have always shown that an employee engaged in hospitality services has shown superior service quality, solid organizational commitment, and reduced employee turnover intentions (Karatepe, 2013). As a result, employee engagement is less often considered as an HR outcome but as a strategic resource that enhances competitive advantage in hospitality organizations.</w:t>
      </w:r>
    </w:p>
    <w:p w14:paraId="1CDA2259" w14:textId="77777777" w:rsidR="008E77E5" w:rsidRDefault="008E77E5" w:rsidP="008E77E5">
      <w:pPr>
        <w:spacing w:line="480" w:lineRule="auto"/>
        <w:rPr>
          <w:rFonts w:ascii="Calibri" w:hAnsi="Calibri" w:cs="Calibri"/>
          <w:b/>
          <w:bCs/>
          <w:color w:val="000000" w:themeColor="text1"/>
          <w:szCs w:val="24"/>
        </w:rPr>
      </w:pPr>
    </w:p>
    <w:p w14:paraId="70117EB7" w14:textId="77777777" w:rsidR="008E77E5" w:rsidRDefault="008E77E5" w:rsidP="008E77E5">
      <w:pPr>
        <w:spacing w:line="480" w:lineRule="auto"/>
        <w:rPr>
          <w:rFonts w:ascii="Calibri" w:hAnsi="Calibri" w:cs="Calibri"/>
          <w:b/>
          <w:bCs/>
          <w:color w:val="000000" w:themeColor="text1"/>
          <w:szCs w:val="24"/>
        </w:rPr>
      </w:pPr>
    </w:p>
    <w:p w14:paraId="27065458" w14:textId="77777777" w:rsidR="00192A19" w:rsidRPr="008E77E5" w:rsidRDefault="00192A19" w:rsidP="008E77E5">
      <w:pPr>
        <w:spacing w:line="480" w:lineRule="auto"/>
        <w:rPr>
          <w:rFonts w:ascii="Calibri" w:hAnsi="Calibri" w:cs="Calibri"/>
          <w:b/>
          <w:bCs/>
          <w:color w:val="000000" w:themeColor="text1"/>
          <w:szCs w:val="24"/>
        </w:rPr>
      </w:pPr>
    </w:p>
    <w:p w14:paraId="64B706F1" w14:textId="02D08D0D" w:rsidR="008E77E5" w:rsidRPr="008E77E5" w:rsidRDefault="008E77E5" w:rsidP="008E77E5">
      <w:pPr>
        <w:spacing w:line="480" w:lineRule="auto"/>
        <w:rPr>
          <w:rFonts w:ascii="Calibri" w:hAnsi="Calibri" w:cs="Calibri"/>
          <w:b/>
          <w:bCs/>
          <w:color w:val="000000" w:themeColor="text1"/>
          <w:szCs w:val="24"/>
        </w:rPr>
      </w:pPr>
      <w:r w:rsidRPr="008E77E5">
        <w:rPr>
          <w:rFonts w:ascii="Calibri" w:hAnsi="Calibri" w:cs="Calibri"/>
          <w:b/>
          <w:bCs/>
          <w:color w:val="000000" w:themeColor="text1"/>
          <w:szCs w:val="24"/>
        </w:rPr>
        <w:lastRenderedPageBreak/>
        <w:t>Theoretical Underpinnings that connect HRM and Employee engagement.</w:t>
      </w:r>
    </w:p>
    <w:p w14:paraId="7177138B" w14:textId="74BC9C99" w:rsidR="008E77E5" w:rsidRPr="008E77E5" w:rsidRDefault="008E77E5" w:rsidP="008E77E5">
      <w:pPr>
        <w:spacing w:line="480" w:lineRule="auto"/>
        <w:rPr>
          <w:rFonts w:ascii="Calibri" w:hAnsi="Calibri" w:cs="Calibri"/>
          <w:color w:val="000000" w:themeColor="text1"/>
          <w:szCs w:val="24"/>
        </w:rPr>
      </w:pPr>
      <w:r w:rsidRPr="008E77E5">
        <w:rPr>
          <w:rFonts w:ascii="Calibri" w:hAnsi="Calibri" w:cs="Calibri"/>
          <w:color w:val="000000" w:themeColor="text1"/>
          <w:szCs w:val="24"/>
        </w:rPr>
        <w:t xml:space="preserve">Human Resource Management (HRM) and employee engagement have a relationship that is based on </w:t>
      </w:r>
      <w:proofErr w:type="gramStart"/>
      <w:r w:rsidRPr="008E77E5">
        <w:rPr>
          <w:rFonts w:ascii="Calibri" w:hAnsi="Calibri" w:cs="Calibri"/>
          <w:color w:val="000000" w:themeColor="text1"/>
          <w:szCs w:val="24"/>
        </w:rPr>
        <w:t>a number of</w:t>
      </w:r>
      <w:proofErr w:type="gramEnd"/>
      <w:r w:rsidRPr="008E77E5">
        <w:rPr>
          <w:rFonts w:ascii="Calibri" w:hAnsi="Calibri" w:cs="Calibri"/>
          <w:color w:val="000000" w:themeColor="text1"/>
          <w:szCs w:val="24"/>
        </w:rPr>
        <w:t xml:space="preserve"> established theoretical frameworks. The Social Exchange Theory assumes that when employees are treated well by an organization, they will pay it back with positive attitudes and </w:t>
      </w:r>
      <w:proofErr w:type="spellStart"/>
      <w:r w:rsidRPr="008E77E5">
        <w:rPr>
          <w:rFonts w:ascii="Calibri" w:hAnsi="Calibri" w:cs="Calibri"/>
          <w:color w:val="000000" w:themeColor="text1"/>
          <w:szCs w:val="24"/>
        </w:rPr>
        <w:t>behaviors</w:t>
      </w:r>
      <w:proofErr w:type="spellEnd"/>
      <w:r w:rsidRPr="008E77E5">
        <w:rPr>
          <w:rFonts w:ascii="Calibri" w:hAnsi="Calibri" w:cs="Calibri"/>
          <w:color w:val="000000" w:themeColor="text1"/>
          <w:szCs w:val="24"/>
        </w:rPr>
        <w:t xml:space="preserve"> such as engagement and discretionary effort (Blau, 1964). Employees in hospitality organizations also tend to exhibit commitment to their emotions and </w:t>
      </w:r>
      <w:proofErr w:type="gramStart"/>
      <w:r w:rsidRPr="008E77E5">
        <w:rPr>
          <w:rFonts w:ascii="Calibri" w:hAnsi="Calibri" w:cs="Calibri"/>
          <w:color w:val="000000" w:themeColor="text1"/>
          <w:szCs w:val="24"/>
        </w:rPr>
        <w:t>service oriented</w:t>
      </w:r>
      <w:proofErr w:type="gramEnd"/>
      <w:r w:rsidRPr="008E77E5">
        <w:rPr>
          <w:rFonts w:ascii="Calibri" w:hAnsi="Calibri" w:cs="Calibri"/>
          <w:color w:val="000000" w:themeColor="text1"/>
          <w:szCs w:val="24"/>
        </w:rPr>
        <w:t xml:space="preserve"> behaviours when they feel that the HR practices are supportive and equitable.</w:t>
      </w:r>
    </w:p>
    <w:p w14:paraId="27D35AC2" w14:textId="15BC52AE" w:rsidR="008E77E5" w:rsidRPr="008E77E5" w:rsidRDefault="008E77E5" w:rsidP="008E77E5">
      <w:pPr>
        <w:spacing w:line="480" w:lineRule="auto"/>
        <w:rPr>
          <w:rFonts w:ascii="Calibri" w:hAnsi="Calibri" w:cs="Calibri"/>
          <w:color w:val="000000" w:themeColor="text1"/>
          <w:szCs w:val="24"/>
        </w:rPr>
      </w:pPr>
      <w:r w:rsidRPr="008E77E5">
        <w:rPr>
          <w:rFonts w:ascii="Calibri" w:hAnsi="Calibri" w:cs="Calibri"/>
          <w:color w:val="000000" w:themeColor="text1"/>
          <w:szCs w:val="24"/>
        </w:rPr>
        <w:t xml:space="preserve">The other model that can be influential is the Job Demands resources (JD R) model, which posits that employee engagement is realized when the job resources (training, autonomy, feedback, and leadership support) counterbalance the job demands (workload and emotional strain) (Bakker and Demerouti, 2007). Considering the hectic emotional and physical nature of work in the hospitality industry, HRM interventions that augment job resources are especially useful in creating engagement. The empirical research in the hotel and tourism industry reveals that job resources as offered by HRM systems, play an important role in shaping the engagement and performance results (Karatepe and </w:t>
      </w:r>
      <w:proofErr w:type="spellStart"/>
      <w:r w:rsidRPr="008E77E5">
        <w:rPr>
          <w:rFonts w:ascii="Calibri" w:hAnsi="Calibri" w:cs="Calibri"/>
          <w:color w:val="000000" w:themeColor="text1"/>
          <w:szCs w:val="24"/>
        </w:rPr>
        <w:t>Olugbade</w:t>
      </w:r>
      <w:proofErr w:type="spellEnd"/>
      <w:r w:rsidRPr="008E77E5">
        <w:rPr>
          <w:rFonts w:ascii="Calibri" w:hAnsi="Calibri" w:cs="Calibri"/>
          <w:color w:val="000000" w:themeColor="text1"/>
          <w:szCs w:val="24"/>
        </w:rPr>
        <w:t>, 2009).</w:t>
      </w:r>
    </w:p>
    <w:p w14:paraId="724D9D31" w14:textId="77777777" w:rsidR="008E77E5" w:rsidRPr="008E77E5" w:rsidRDefault="008E77E5" w:rsidP="008E77E5">
      <w:pPr>
        <w:spacing w:line="480" w:lineRule="auto"/>
        <w:rPr>
          <w:rFonts w:ascii="Calibri" w:hAnsi="Calibri" w:cs="Calibri"/>
          <w:color w:val="000000" w:themeColor="text1"/>
          <w:szCs w:val="24"/>
        </w:rPr>
      </w:pPr>
      <w:r w:rsidRPr="008E77E5">
        <w:rPr>
          <w:rFonts w:ascii="Calibri" w:hAnsi="Calibri" w:cs="Calibri"/>
          <w:color w:val="000000" w:themeColor="text1"/>
          <w:szCs w:val="24"/>
        </w:rPr>
        <w:t>Also, the Ability–Motivation-Opportunity (AMO) model describes how HRM activities can affect the performance of the employees through improvement of employee skills, motivation and opportunities of participation (</w:t>
      </w:r>
      <w:proofErr w:type="spellStart"/>
      <w:r w:rsidRPr="008E77E5">
        <w:rPr>
          <w:rFonts w:ascii="Calibri" w:hAnsi="Calibri" w:cs="Calibri"/>
          <w:color w:val="000000" w:themeColor="text1"/>
          <w:szCs w:val="24"/>
        </w:rPr>
        <w:t>Boselie</w:t>
      </w:r>
      <w:proofErr w:type="spellEnd"/>
      <w:r w:rsidRPr="008E77E5">
        <w:rPr>
          <w:rFonts w:ascii="Calibri" w:hAnsi="Calibri" w:cs="Calibri"/>
          <w:color w:val="000000" w:themeColor="text1"/>
          <w:szCs w:val="24"/>
        </w:rPr>
        <w:t xml:space="preserve"> et al., 2005). Employee abilities are developed through training and development, motivation is improved through performance management and rewards, and engagement opportunities are provided through participative decision-making. </w:t>
      </w:r>
      <w:r w:rsidRPr="008E77E5">
        <w:rPr>
          <w:rFonts w:ascii="Calibri" w:hAnsi="Calibri" w:cs="Calibri"/>
          <w:color w:val="000000" w:themeColor="text1"/>
          <w:szCs w:val="24"/>
        </w:rPr>
        <w:lastRenderedPageBreak/>
        <w:t>This model has been broadly used in hospitality studies to determine the role of HRM systems in employee attitudes and service performance.</w:t>
      </w:r>
    </w:p>
    <w:p w14:paraId="26944B6D" w14:textId="77777777" w:rsidR="008E77E5" w:rsidRPr="008E77E5" w:rsidRDefault="008E77E5" w:rsidP="008E77E5">
      <w:pPr>
        <w:spacing w:line="480" w:lineRule="auto"/>
        <w:rPr>
          <w:rFonts w:ascii="Calibri" w:hAnsi="Calibri" w:cs="Calibri"/>
          <w:b/>
          <w:bCs/>
          <w:color w:val="000000" w:themeColor="text1"/>
          <w:szCs w:val="24"/>
        </w:rPr>
      </w:pPr>
    </w:p>
    <w:p w14:paraId="221E5A5C" w14:textId="77777777" w:rsidR="008E77E5" w:rsidRPr="008E77E5" w:rsidRDefault="008E77E5" w:rsidP="008E77E5">
      <w:pPr>
        <w:spacing w:line="480" w:lineRule="auto"/>
        <w:rPr>
          <w:rFonts w:ascii="Calibri" w:hAnsi="Calibri" w:cs="Calibri"/>
          <w:b/>
          <w:bCs/>
          <w:color w:val="000000" w:themeColor="text1"/>
          <w:szCs w:val="24"/>
        </w:rPr>
      </w:pPr>
      <w:r w:rsidRPr="008E77E5">
        <w:rPr>
          <w:rFonts w:ascii="Calibri" w:hAnsi="Calibri" w:cs="Calibri"/>
          <w:b/>
          <w:bCs/>
          <w:color w:val="000000" w:themeColor="text1"/>
          <w:szCs w:val="24"/>
        </w:rPr>
        <w:t>HRM Practice and Employee Engagement.</w:t>
      </w:r>
    </w:p>
    <w:p w14:paraId="3B1B181D" w14:textId="45F09E39" w:rsidR="008E77E5" w:rsidRPr="008E77E5" w:rsidRDefault="008E77E5" w:rsidP="008E77E5">
      <w:pPr>
        <w:spacing w:line="480" w:lineRule="auto"/>
        <w:rPr>
          <w:rFonts w:ascii="Calibri" w:hAnsi="Calibri" w:cs="Calibri"/>
          <w:b/>
          <w:bCs/>
          <w:color w:val="000000" w:themeColor="text1"/>
          <w:szCs w:val="24"/>
        </w:rPr>
      </w:pPr>
      <w:r w:rsidRPr="008E77E5">
        <w:rPr>
          <w:rFonts w:ascii="Calibri" w:hAnsi="Calibri" w:cs="Calibri"/>
          <w:b/>
          <w:bCs/>
          <w:color w:val="000000" w:themeColor="text1"/>
          <w:szCs w:val="24"/>
        </w:rPr>
        <w:t>3.1 Training and Development</w:t>
      </w:r>
    </w:p>
    <w:p w14:paraId="4F3A1CB5" w14:textId="52E2129B" w:rsidR="008E77E5" w:rsidRPr="008E77E5" w:rsidRDefault="008E77E5" w:rsidP="008E77E5">
      <w:pPr>
        <w:spacing w:line="480" w:lineRule="auto"/>
        <w:rPr>
          <w:rFonts w:ascii="Calibri" w:hAnsi="Calibri" w:cs="Calibri"/>
          <w:color w:val="000000" w:themeColor="text1"/>
          <w:szCs w:val="24"/>
        </w:rPr>
      </w:pPr>
      <w:r w:rsidRPr="008E77E5">
        <w:rPr>
          <w:rFonts w:ascii="Calibri" w:hAnsi="Calibri" w:cs="Calibri"/>
          <w:color w:val="000000" w:themeColor="text1"/>
          <w:szCs w:val="24"/>
        </w:rPr>
        <w:t>HRM practices which are always cited as being critical in employee engagement in hospitality organisations include training and development. On-the-job training improves both the technical aptitude and service capabilities of the employees as well as their self-confidence in dealing with customers. Research shows that employees who sense that they have access to meaningful training opportunities register higher scores on engagement, job satisfaction, and commitment to the organization (Chiang et al., 2015).</w:t>
      </w:r>
    </w:p>
    <w:p w14:paraId="6912F10F" w14:textId="3AF2C959" w:rsidR="008E77E5" w:rsidRPr="008E77E5" w:rsidRDefault="008E77E5" w:rsidP="008E77E5">
      <w:pPr>
        <w:spacing w:line="480" w:lineRule="auto"/>
        <w:rPr>
          <w:rFonts w:ascii="Calibri" w:hAnsi="Calibri" w:cs="Calibri"/>
          <w:color w:val="000000" w:themeColor="text1"/>
          <w:szCs w:val="24"/>
        </w:rPr>
      </w:pPr>
      <w:r w:rsidRPr="008E77E5">
        <w:rPr>
          <w:rFonts w:ascii="Calibri" w:hAnsi="Calibri" w:cs="Calibri"/>
          <w:color w:val="000000" w:themeColor="text1"/>
          <w:szCs w:val="24"/>
        </w:rPr>
        <w:t xml:space="preserve">Training also functions as an indicator of organizational support in the context of hospitality and makes employees believe that the organization cares about their development. This will reinforce the psychological contract between workers and employers, thus improving participation. Experimental results indicate that HRM systems with training orientations have positive correlations with decreased burnout and enhanced service recovery performance among frontline employees in the hospitality industry (Karatepe and </w:t>
      </w:r>
      <w:proofErr w:type="spellStart"/>
      <w:r w:rsidRPr="008E77E5">
        <w:rPr>
          <w:rFonts w:ascii="Calibri" w:hAnsi="Calibri" w:cs="Calibri"/>
          <w:color w:val="000000" w:themeColor="text1"/>
          <w:szCs w:val="24"/>
        </w:rPr>
        <w:t>Vatankhah</w:t>
      </w:r>
      <w:proofErr w:type="spellEnd"/>
      <w:r w:rsidRPr="008E77E5">
        <w:rPr>
          <w:rFonts w:ascii="Calibri" w:hAnsi="Calibri" w:cs="Calibri"/>
          <w:color w:val="000000" w:themeColor="text1"/>
          <w:szCs w:val="24"/>
        </w:rPr>
        <w:t>, 2014).</w:t>
      </w:r>
    </w:p>
    <w:p w14:paraId="7A2CDE7F" w14:textId="0D5A0E45" w:rsidR="008E77E5" w:rsidRPr="008E77E5" w:rsidRDefault="008E77E5" w:rsidP="008E77E5">
      <w:pPr>
        <w:spacing w:line="480" w:lineRule="auto"/>
        <w:rPr>
          <w:rFonts w:ascii="Calibri" w:hAnsi="Calibri" w:cs="Calibri"/>
          <w:b/>
          <w:bCs/>
          <w:color w:val="000000" w:themeColor="text1"/>
          <w:szCs w:val="24"/>
        </w:rPr>
      </w:pPr>
      <w:r w:rsidRPr="008E77E5">
        <w:rPr>
          <w:rFonts w:ascii="Calibri" w:hAnsi="Calibri" w:cs="Calibri"/>
          <w:b/>
          <w:bCs/>
          <w:color w:val="000000" w:themeColor="text1"/>
          <w:szCs w:val="24"/>
        </w:rPr>
        <w:t>3.2 Rewards and Performance Management.</w:t>
      </w:r>
    </w:p>
    <w:p w14:paraId="661890D5" w14:textId="6154CD6F" w:rsidR="008E77E5" w:rsidRPr="008E77E5" w:rsidRDefault="008E77E5" w:rsidP="008E77E5">
      <w:pPr>
        <w:spacing w:line="480" w:lineRule="auto"/>
        <w:rPr>
          <w:rFonts w:ascii="Calibri" w:hAnsi="Calibri" w:cs="Calibri"/>
          <w:color w:val="000000" w:themeColor="text1"/>
          <w:szCs w:val="24"/>
        </w:rPr>
      </w:pPr>
      <w:r w:rsidRPr="008E77E5">
        <w:rPr>
          <w:rFonts w:ascii="Calibri" w:hAnsi="Calibri" w:cs="Calibri"/>
          <w:color w:val="000000" w:themeColor="text1"/>
          <w:szCs w:val="24"/>
        </w:rPr>
        <w:t xml:space="preserve">The performance management systems are crucial in influencing employee engagement through the delivery of clarity, feedback, and recognition. Open and transparent appraisal </w:t>
      </w:r>
      <w:r w:rsidRPr="008E77E5">
        <w:rPr>
          <w:rFonts w:ascii="Calibri" w:hAnsi="Calibri" w:cs="Calibri"/>
          <w:color w:val="000000" w:themeColor="text1"/>
          <w:szCs w:val="24"/>
        </w:rPr>
        <w:lastRenderedPageBreak/>
        <w:t>systems that focus on developmental feedback and not punitive control help in building trust and motivation among workers in hospitality industries. The studies demonstrate that unbiased and consistent performance appraisals increase procedural justice perceptions, which subsequently contribute to participation and organisational commitment (Albrecht et al., 2015).</w:t>
      </w:r>
    </w:p>
    <w:p w14:paraId="5779319D" w14:textId="77777777" w:rsidR="008E77E5" w:rsidRPr="008E77E5" w:rsidRDefault="008E77E5" w:rsidP="008E77E5">
      <w:pPr>
        <w:spacing w:line="480" w:lineRule="auto"/>
        <w:rPr>
          <w:rFonts w:ascii="Calibri" w:hAnsi="Calibri" w:cs="Calibri"/>
          <w:color w:val="000000" w:themeColor="text1"/>
          <w:szCs w:val="24"/>
        </w:rPr>
      </w:pPr>
      <w:r w:rsidRPr="008E77E5">
        <w:rPr>
          <w:rFonts w:ascii="Calibri" w:hAnsi="Calibri" w:cs="Calibri"/>
          <w:color w:val="000000" w:themeColor="text1"/>
          <w:szCs w:val="24"/>
        </w:rPr>
        <w:t xml:space="preserve">The reward and recognition systems also strengthen the engagement by matching the effort of employees to organizational objectives. Non-monetary rewards like recognition programs, career development opportunities, and flexible working hours have also been found to be especially effective in motivating employees in the hospitality organizations (Kim et al., 2012). Employees will put in more discretionary effort in the delivery of services when they perceive the rewards as fair and </w:t>
      </w:r>
      <w:proofErr w:type="gramStart"/>
      <w:r w:rsidRPr="008E77E5">
        <w:rPr>
          <w:rFonts w:ascii="Calibri" w:hAnsi="Calibri" w:cs="Calibri"/>
          <w:color w:val="000000" w:themeColor="text1"/>
          <w:szCs w:val="24"/>
        </w:rPr>
        <w:t>performance-related</w:t>
      </w:r>
      <w:proofErr w:type="gramEnd"/>
      <w:r w:rsidRPr="008E77E5">
        <w:rPr>
          <w:rFonts w:ascii="Calibri" w:hAnsi="Calibri" w:cs="Calibri"/>
          <w:color w:val="000000" w:themeColor="text1"/>
          <w:szCs w:val="24"/>
        </w:rPr>
        <w:t>.</w:t>
      </w:r>
    </w:p>
    <w:p w14:paraId="5F714600" w14:textId="77777777" w:rsidR="008E77E5" w:rsidRDefault="008E77E5" w:rsidP="008E77E5">
      <w:pPr>
        <w:spacing w:line="480" w:lineRule="auto"/>
        <w:rPr>
          <w:rFonts w:ascii="Calibri" w:hAnsi="Calibri" w:cs="Calibri"/>
          <w:b/>
          <w:bCs/>
          <w:color w:val="000000" w:themeColor="text1"/>
          <w:szCs w:val="24"/>
        </w:rPr>
      </w:pPr>
    </w:p>
    <w:p w14:paraId="540C528B" w14:textId="77777777" w:rsidR="008E77E5" w:rsidRDefault="008E77E5" w:rsidP="008E77E5">
      <w:pPr>
        <w:spacing w:line="480" w:lineRule="auto"/>
        <w:rPr>
          <w:rFonts w:ascii="Calibri" w:hAnsi="Calibri" w:cs="Calibri"/>
          <w:b/>
          <w:bCs/>
          <w:color w:val="000000" w:themeColor="text1"/>
          <w:szCs w:val="24"/>
        </w:rPr>
      </w:pPr>
    </w:p>
    <w:p w14:paraId="3D7C8917" w14:textId="77777777" w:rsidR="008E77E5" w:rsidRDefault="008E77E5" w:rsidP="008E77E5">
      <w:pPr>
        <w:spacing w:line="480" w:lineRule="auto"/>
        <w:rPr>
          <w:rFonts w:ascii="Calibri" w:hAnsi="Calibri" w:cs="Calibri"/>
          <w:b/>
          <w:bCs/>
          <w:color w:val="000000" w:themeColor="text1"/>
          <w:szCs w:val="24"/>
        </w:rPr>
      </w:pPr>
    </w:p>
    <w:p w14:paraId="4B8D6D51" w14:textId="77777777" w:rsidR="008E77E5" w:rsidRDefault="008E77E5" w:rsidP="008E77E5">
      <w:pPr>
        <w:spacing w:line="480" w:lineRule="auto"/>
        <w:rPr>
          <w:rFonts w:ascii="Calibri" w:hAnsi="Calibri" w:cs="Calibri"/>
          <w:b/>
          <w:bCs/>
          <w:color w:val="000000" w:themeColor="text1"/>
          <w:szCs w:val="24"/>
        </w:rPr>
      </w:pPr>
    </w:p>
    <w:p w14:paraId="37D1F9A7" w14:textId="77777777" w:rsidR="008E77E5" w:rsidRPr="008E77E5" w:rsidRDefault="008E77E5" w:rsidP="008E77E5">
      <w:pPr>
        <w:spacing w:line="480" w:lineRule="auto"/>
        <w:rPr>
          <w:rFonts w:ascii="Calibri" w:hAnsi="Calibri" w:cs="Calibri"/>
          <w:b/>
          <w:bCs/>
          <w:color w:val="000000" w:themeColor="text1"/>
          <w:szCs w:val="24"/>
        </w:rPr>
      </w:pPr>
    </w:p>
    <w:p w14:paraId="2341228B" w14:textId="3D7C36F3" w:rsidR="008E77E5" w:rsidRPr="008E77E5" w:rsidRDefault="008E77E5" w:rsidP="008E77E5">
      <w:pPr>
        <w:spacing w:line="480" w:lineRule="auto"/>
        <w:rPr>
          <w:rFonts w:ascii="Calibri" w:hAnsi="Calibri" w:cs="Calibri"/>
          <w:b/>
          <w:bCs/>
          <w:color w:val="000000" w:themeColor="text1"/>
          <w:szCs w:val="24"/>
        </w:rPr>
      </w:pPr>
      <w:r w:rsidRPr="008E77E5">
        <w:rPr>
          <w:rFonts w:ascii="Calibri" w:hAnsi="Calibri" w:cs="Calibri"/>
          <w:b/>
          <w:bCs/>
          <w:color w:val="000000" w:themeColor="text1"/>
          <w:szCs w:val="24"/>
        </w:rPr>
        <w:t>3.3 Career Development and Retention.</w:t>
      </w:r>
    </w:p>
    <w:p w14:paraId="177EC764" w14:textId="366D1C72" w:rsidR="008E77E5" w:rsidRPr="008E77E5" w:rsidRDefault="008E77E5" w:rsidP="008E77E5">
      <w:pPr>
        <w:spacing w:line="480" w:lineRule="auto"/>
        <w:rPr>
          <w:rFonts w:ascii="Calibri" w:hAnsi="Calibri" w:cs="Calibri"/>
          <w:color w:val="000000" w:themeColor="text1"/>
          <w:szCs w:val="24"/>
        </w:rPr>
      </w:pPr>
      <w:r w:rsidRPr="008E77E5">
        <w:rPr>
          <w:rFonts w:ascii="Calibri" w:hAnsi="Calibri" w:cs="Calibri"/>
          <w:color w:val="000000" w:themeColor="text1"/>
          <w:szCs w:val="24"/>
        </w:rPr>
        <w:t xml:space="preserve">The prospects of career development play a significant role in ensuring long-term employee engagement in an industry that is often cited to have poor career growth. As studies show, hospitality workers with a sense of the career good perspectives and promotion opportunities have enhanced engagement and reduced turnover intentions (Jung &amp; Yoon, 2015). The HRM </w:t>
      </w:r>
      <w:r w:rsidRPr="008E77E5">
        <w:rPr>
          <w:rFonts w:ascii="Calibri" w:hAnsi="Calibri" w:cs="Calibri"/>
          <w:color w:val="000000" w:themeColor="text1"/>
          <w:szCs w:val="24"/>
        </w:rPr>
        <w:lastRenderedPageBreak/>
        <w:t>practices which focus on internal mobility, mentoring and succession planning help create a feeling of job security and professional identity.</w:t>
      </w:r>
    </w:p>
    <w:p w14:paraId="070128B6" w14:textId="0D633E95" w:rsidR="008E77E5" w:rsidRPr="008E77E5" w:rsidRDefault="008E77E5" w:rsidP="008E77E5">
      <w:pPr>
        <w:spacing w:line="480" w:lineRule="auto"/>
        <w:rPr>
          <w:rFonts w:ascii="Calibri" w:hAnsi="Calibri" w:cs="Calibri"/>
          <w:color w:val="000000" w:themeColor="text1"/>
          <w:szCs w:val="24"/>
        </w:rPr>
      </w:pPr>
      <w:r w:rsidRPr="008E77E5">
        <w:rPr>
          <w:rFonts w:ascii="Calibri" w:hAnsi="Calibri" w:cs="Calibri"/>
          <w:color w:val="000000" w:themeColor="text1"/>
          <w:szCs w:val="24"/>
        </w:rPr>
        <w:t>Career development is also beneficial to retention because it helps to combat one of the main reasons of employee turnover in hospitality: the perceived or actual stagnation. The research indicates that that engaged employees have a much lower tendency to quit when employers commit to their long-term career development, which decreases recruitment and training expenses (Hom et al., 2017).</w:t>
      </w:r>
    </w:p>
    <w:p w14:paraId="2AA98913" w14:textId="1C319D52" w:rsidR="008E77E5" w:rsidRPr="008E77E5" w:rsidRDefault="008E77E5" w:rsidP="008E77E5">
      <w:pPr>
        <w:spacing w:line="480" w:lineRule="auto"/>
        <w:rPr>
          <w:rFonts w:ascii="Calibri" w:hAnsi="Calibri" w:cs="Calibri"/>
          <w:b/>
          <w:bCs/>
          <w:color w:val="000000" w:themeColor="text1"/>
          <w:szCs w:val="24"/>
        </w:rPr>
      </w:pPr>
      <w:r w:rsidRPr="008E77E5">
        <w:rPr>
          <w:rFonts w:ascii="Calibri" w:hAnsi="Calibri" w:cs="Calibri"/>
          <w:b/>
          <w:bCs/>
          <w:color w:val="000000" w:themeColor="text1"/>
          <w:szCs w:val="24"/>
        </w:rPr>
        <w:t>Employee Engagement and Leadership Styles.</w:t>
      </w:r>
    </w:p>
    <w:p w14:paraId="1F7CFFE5" w14:textId="52838FD4" w:rsidR="008E77E5" w:rsidRPr="008E77E5" w:rsidRDefault="008E77E5" w:rsidP="008E77E5">
      <w:pPr>
        <w:spacing w:line="480" w:lineRule="auto"/>
        <w:rPr>
          <w:rFonts w:ascii="Calibri" w:hAnsi="Calibri" w:cs="Calibri"/>
          <w:color w:val="000000" w:themeColor="text1"/>
          <w:szCs w:val="24"/>
        </w:rPr>
      </w:pPr>
      <w:r w:rsidRPr="008E77E5">
        <w:rPr>
          <w:rFonts w:ascii="Calibri" w:hAnsi="Calibri" w:cs="Calibri"/>
          <w:color w:val="000000" w:themeColor="text1"/>
          <w:szCs w:val="24"/>
        </w:rPr>
        <w:t>A key contextual determinant that affects the success of HRM practices in enhancing engagement among employees is leadership style. Transformational leadership, which is inspirational, individualized, and intellectually stimulating, has been strongly associated with increased levels of engagement in the hospitality setting (</w:t>
      </w:r>
      <w:proofErr w:type="spellStart"/>
      <w:r w:rsidRPr="008E77E5">
        <w:rPr>
          <w:rFonts w:ascii="Calibri" w:hAnsi="Calibri" w:cs="Calibri"/>
          <w:color w:val="000000" w:themeColor="text1"/>
          <w:szCs w:val="24"/>
        </w:rPr>
        <w:t>Breevaart</w:t>
      </w:r>
      <w:proofErr w:type="spellEnd"/>
      <w:r w:rsidRPr="008E77E5">
        <w:rPr>
          <w:rFonts w:ascii="Calibri" w:hAnsi="Calibri" w:cs="Calibri"/>
          <w:color w:val="000000" w:themeColor="text1"/>
          <w:szCs w:val="24"/>
        </w:rPr>
        <w:t xml:space="preserve"> et al., 2014). Such leaders provide enabling conditions that motivate employees and promote active service practices.</w:t>
      </w:r>
    </w:p>
    <w:p w14:paraId="3A1D0711" w14:textId="03ACCA14" w:rsidR="008E77E5" w:rsidRPr="008E77E5" w:rsidRDefault="008E77E5" w:rsidP="008E77E5">
      <w:pPr>
        <w:spacing w:line="480" w:lineRule="auto"/>
        <w:rPr>
          <w:rFonts w:ascii="Calibri" w:hAnsi="Calibri" w:cs="Calibri"/>
          <w:color w:val="000000" w:themeColor="text1"/>
          <w:szCs w:val="24"/>
        </w:rPr>
      </w:pPr>
      <w:r w:rsidRPr="008E77E5">
        <w:rPr>
          <w:rFonts w:ascii="Calibri" w:hAnsi="Calibri" w:cs="Calibri"/>
          <w:color w:val="000000" w:themeColor="text1"/>
          <w:szCs w:val="24"/>
        </w:rPr>
        <w:t xml:space="preserve">On the other hand, transactional leadership that focuses on compliance and performance-based rewards might produce short term performance increases </w:t>
      </w:r>
      <w:proofErr w:type="gramStart"/>
      <w:r w:rsidRPr="008E77E5">
        <w:rPr>
          <w:rFonts w:ascii="Calibri" w:hAnsi="Calibri" w:cs="Calibri"/>
          <w:color w:val="000000" w:themeColor="text1"/>
          <w:szCs w:val="24"/>
        </w:rPr>
        <w:t>but in most cases</w:t>
      </w:r>
      <w:proofErr w:type="gramEnd"/>
      <w:r w:rsidRPr="008E77E5">
        <w:rPr>
          <w:rFonts w:ascii="Calibri" w:hAnsi="Calibri" w:cs="Calibri"/>
          <w:color w:val="000000" w:themeColor="text1"/>
          <w:szCs w:val="24"/>
        </w:rPr>
        <w:t xml:space="preserve"> does not maintain interest in emotionally challenging hospitality positions. The literature indicates that dictatorial leadership styles enhance emotional fatigue and disconnect among frontline service workers (Karatepe, 2012).</w:t>
      </w:r>
    </w:p>
    <w:p w14:paraId="6BD3C8B0" w14:textId="33649579" w:rsidR="008E77E5" w:rsidRPr="008E77E5" w:rsidRDefault="008E77E5" w:rsidP="008E77E5">
      <w:pPr>
        <w:spacing w:line="480" w:lineRule="auto"/>
        <w:rPr>
          <w:rFonts w:ascii="Calibri" w:hAnsi="Calibri" w:cs="Calibri"/>
          <w:color w:val="000000" w:themeColor="text1"/>
          <w:szCs w:val="24"/>
        </w:rPr>
      </w:pPr>
      <w:r w:rsidRPr="008E77E5">
        <w:rPr>
          <w:rFonts w:ascii="Calibri" w:hAnsi="Calibri" w:cs="Calibri"/>
          <w:color w:val="000000" w:themeColor="text1"/>
          <w:szCs w:val="24"/>
        </w:rPr>
        <w:t xml:space="preserve">Another area that has attracted interest in the hospitality research is servant leadership because of its emphasis on the well-being and ethical </w:t>
      </w:r>
      <w:proofErr w:type="spellStart"/>
      <w:r w:rsidRPr="008E77E5">
        <w:rPr>
          <w:rFonts w:ascii="Calibri" w:hAnsi="Calibri" w:cs="Calibri"/>
          <w:color w:val="000000" w:themeColor="text1"/>
          <w:szCs w:val="24"/>
        </w:rPr>
        <w:t>behavior</w:t>
      </w:r>
      <w:proofErr w:type="spellEnd"/>
      <w:r w:rsidRPr="008E77E5">
        <w:rPr>
          <w:rFonts w:ascii="Calibri" w:hAnsi="Calibri" w:cs="Calibri"/>
          <w:color w:val="000000" w:themeColor="text1"/>
          <w:szCs w:val="24"/>
        </w:rPr>
        <w:t xml:space="preserve"> of the employees. They have shown that servant leadership improves trust, psychological safety, and engagement, which positively </w:t>
      </w:r>
      <w:r w:rsidRPr="008E77E5">
        <w:rPr>
          <w:rFonts w:ascii="Calibri" w:hAnsi="Calibri" w:cs="Calibri"/>
          <w:color w:val="000000" w:themeColor="text1"/>
          <w:szCs w:val="24"/>
        </w:rPr>
        <w:lastRenderedPageBreak/>
        <w:t>influence the quality of services and satisfaction of guests (Eva et al., 2019). These results demonstrate the significance of leadership development as a part and parcel of HRM strategy in hospitality organizations.</w:t>
      </w:r>
    </w:p>
    <w:p w14:paraId="470BAA99" w14:textId="291E1F8A" w:rsidR="008E77E5" w:rsidRPr="008E77E5" w:rsidRDefault="008E77E5" w:rsidP="008E77E5">
      <w:pPr>
        <w:spacing w:line="480" w:lineRule="auto"/>
        <w:rPr>
          <w:rFonts w:ascii="Calibri" w:hAnsi="Calibri" w:cs="Calibri"/>
          <w:b/>
          <w:bCs/>
          <w:color w:val="000000" w:themeColor="text1"/>
          <w:szCs w:val="24"/>
        </w:rPr>
      </w:pPr>
      <w:r w:rsidRPr="008E77E5">
        <w:rPr>
          <w:rFonts w:ascii="Calibri" w:hAnsi="Calibri" w:cs="Calibri"/>
          <w:b/>
          <w:bCs/>
          <w:color w:val="000000" w:themeColor="text1"/>
          <w:szCs w:val="24"/>
        </w:rPr>
        <w:t>Employee Health and Satisfaction.</w:t>
      </w:r>
    </w:p>
    <w:p w14:paraId="7FF215AE" w14:textId="0D10E2D7" w:rsidR="008E77E5" w:rsidRPr="008E77E5" w:rsidRDefault="008E77E5" w:rsidP="008E77E5">
      <w:pPr>
        <w:spacing w:line="480" w:lineRule="auto"/>
        <w:rPr>
          <w:rFonts w:ascii="Calibri" w:hAnsi="Calibri" w:cs="Calibri"/>
          <w:color w:val="000000" w:themeColor="text1"/>
          <w:szCs w:val="24"/>
        </w:rPr>
      </w:pPr>
      <w:r w:rsidRPr="008E77E5">
        <w:rPr>
          <w:rFonts w:ascii="Calibri" w:hAnsi="Calibri" w:cs="Calibri"/>
          <w:color w:val="000000" w:themeColor="text1"/>
          <w:szCs w:val="24"/>
        </w:rPr>
        <w:t xml:space="preserve">Employee welfare has become a crucial predictor of engagement especially in high stress hospitality conditions. Wellbeing refers to physical, psychological and emotional fitness, which affect the ability of employees to be kept engaged at the workplace. A study has shown that hospitality employees are exposed to high burnout risks </w:t>
      </w:r>
      <w:proofErr w:type="gramStart"/>
      <w:r w:rsidRPr="008E77E5">
        <w:rPr>
          <w:rFonts w:ascii="Calibri" w:hAnsi="Calibri" w:cs="Calibri"/>
          <w:color w:val="000000" w:themeColor="text1"/>
          <w:szCs w:val="24"/>
        </w:rPr>
        <w:t>as a result of</w:t>
      </w:r>
      <w:proofErr w:type="gramEnd"/>
      <w:r w:rsidRPr="008E77E5">
        <w:rPr>
          <w:rFonts w:ascii="Calibri" w:hAnsi="Calibri" w:cs="Calibri"/>
          <w:color w:val="000000" w:themeColor="text1"/>
          <w:szCs w:val="24"/>
        </w:rPr>
        <w:t xml:space="preserve"> irregular work hours, emotional </w:t>
      </w:r>
      <w:proofErr w:type="spellStart"/>
      <w:r w:rsidRPr="008E77E5">
        <w:rPr>
          <w:rFonts w:ascii="Calibri" w:hAnsi="Calibri" w:cs="Calibri"/>
          <w:color w:val="000000" w:themeColor="text1"/>
          <w:szCs w:val="24"/>
        </w:rPr>
        <w:t>labor</w:t>
      </w:r>
      <w:proofErr w:type="spellEnd"/>
      <w:r w:rsidRPr="008E77E5">
        <w:rPr>
          <w:rFonts w:ascii="Calibri" w:hAnsi="Calibri" w:cs="Calibri"/>
          <w:color w:val="000000" w:themeColor="text1"/>
          <w:szCs w:val="24"/>
        </w:rPr>
        <w:t>, and stressors associated with customers (Lee and Ok, 2012).</w:t>
      </w:r>
    </w:p>
    <w:p w14:paraId="0536B804" w14:textId="77777777" w:rsidR="008E77E5" w:rsidRPr="008E77E5" w:rsidRDefault="008E77E5" w:rsidP="008E77E5">
      <w:pPr>
        <w:spacing w:line="480" w:lineRule="auto"/>
        <w:rPr>
          <w:rFonts w:ascii="Calibri" w:hAnsi="Calibri" w:cs="Calibri"/>
          <w:color w:val="000000" w:themeColor="text1"/>
          <w:szCs w:val="24"/>
        </w:rPr>
      </w:pPr>
      <w:r w:rsidRPr="008E77E5">
        <w:rPr>
          <w:rFonts w:ascii="Calibri" w:hAnsi="Calibri" w:cs="Calibri"/>
          <w:color w:val="000000" w:themeColor="text1"/>
          <w:szCs w:val="24"/>
        </w:rPr>
        <w:t>Work-life balance, mental health, and inclusive workplace culture are HRM practices that are very important in preventing these risks. Research has shown that a company with a focus on the well-being of its employees has greater engagement, less absenteeism, and higher service performance (</w:t>
      </w:r>
      <w:proofErr w:type="spellStart"/>
      <w:r w:rsidRPr="008E77E5">
        <w:rPr>
          <w:rFonts w:ascii="Calibri" w:hAnsi="Calibri" w:cs="Calibri"/>
          <w:color w:val="000000" w:themeColor="text1"/>
          <w:szCs w:val="24"/>
        </w:rPr>
        <w:t>Grawitch</w:t>
      </w:r>
      <w:proofErr w:type="spellEnd"/>
      <w:r w:rsidRPr="008E77E5">
        <w:rPr>
          <w:rFonts w:ascii="Calibri" w:hAnsi="Calibri" w:cs="Calibri"/>
          <w:color w:val="000000" w:themeColor="text1"/>
          <w:szCs w:val="24"/>
        </w:rPr>
        <w:t xml:space="preserve"> et al., 2006). Well-being-oriented HRM strategies are becoming a necessity and not a luxury in hospitality settings where burnout among employees is a direct indicator of service quality.</w:t>
      </w:r>
    </w:p>
    <w:p w14:paraId="1F3E120D" w14:textId="77777777" w:rsidR="008E77E5" w:rsidRPr="008E77E5" w:rsidRDefault="008E77E5" w:rsidP="008E77E5">
      <w:pPr>
        <w:spacing w:line="480" w:lineRule="auto"/>
        <w:rPr>
          <w:rFonts w:ascii="Calibri" w:hAnsi="Calibri" w:cs="Calibri"/>
          <w:b/>
          <w:bCs/>
          <w:color w:val="000000" w:themeColor="text1"/>
          <w:szCs w:val="24"/>
        </w:rPr>
      </w:pPr>
    </w:p>
    <w:p w14:paraId="6525054B" w14:textId="26119F16" w:rsidR="008E77E5" w:rsidRPr="008E77E5" w:rsidRDefault="008E77E5" w:rsidP="008E77E5">
      <w:pPr>
        <w:spacing w:line="480" w:lineRule="auto"/>
        <w:rPr>
          <w:rFonts w:ascii="Calibri" w:hAnsi="Calibri" w:cs="Calibri"/>
          <w:b/>
          <w:bCs/>
          <w:color w:val="000000" w:themeColor="text1"/>
          <w:szCs w:val="24"/>
        </w:rPr>
      </w:pPr>
      <w:r w:rsidRPr="008E77E5">
        <w:rPr>
          <w:rFonts w:ascii="Calibri" w:hAnsi="Calibri" w:cs="Calibri"/>
          <w:b/>
          <w:bCs/>
          <w:color w:val="000000" w:themeColor="text1"/>
          <w:szCs w:val="24"/>
        </w:rPr>
        <w:t>Effect of Engagement of Employees on Organizational Results.</w:t>
      </w:r>
    </w:p>
    <w:p w14:paraId="01583605" w14:textId="34C71767" w:rsidR="008E77E5" w:rsidRPr="008E77E5" w:rsidRDefault="008E77E5" w:rsidP="008E77E5">
      <w:pPr>
        <w:spacing w:line="480" w:lineRule="auto"/>
        <w:rPr>
          <w:rFonts w:ascii="Calibri" w:hAnsi="Calibri" w:cs="Calibri"/>
          <w:color w:val="000000" w:themeColor="text1"/>
          <w:szCs w:val="24"/>
        </w:rPr>
      </w:pPr>
      <w:r w:rsidRPr="008E77E5">
        <w:rPr>
          <w:rFonts w:ascii="Calibri" w:hAnsi="Calibri" w:cs="Calibri"/>
          <w:color w:val="000000" w:themeColor="text1"/>
          <w:szCs w:val="24"/>
        </w:rPr>
        <w:t xml:space="preserve">Literature shows that there is a significant connection between employee engagement and the most important results in hospitality. Customer-oriented </w:t>
      </w:r>
      <w:proofErr w:type="spellStart"/>
      <w:r w:rsidRPr="008E77E5">
        <w:rPr>
          <w:rFonts w:ascii="Calibri" w:hAnsi="Calibri" w:cs="Calibri"/>
          <w:color w:val="000000" w:themeColor="text1"/>
          <w:szCs w:val="24"/>
        </w:rPr>
        <w:t>behaviors</w:t>
      </w:r>
      <w:proofErr w:type="spellEnd"/>
      <w:r w:rsidRPr="008E77E5">
        <w:rPr>
          <w:rFonts w:ascii="Calibri" w:hAnsi="Calibri" w:cs="Calibri"/>
          <w:color w:val="000000" w:themeColor="text1"/>
          <w:szCs w:val="24"/>
        </w:rPr>
        <w:t xml:space="preserve"> are more prone to be shown by engaged employees, which leads to increased guest satisfaction and loyalty (Harter et al., </w:t>
      </w:r>
      <w:r w:rsidRPr="008E77E5">
        <w:rPr>
          <w:rFonts w:ascii="Calibri" w:hAnsi="Calibri" w:cs="Calibri"/>
          <w:color w:val="000000" w:themeColor="text1"/>
          <w:szCs w:val="24"/>
        </w:rPr>
        <w:lastRenderedPageBreak/>
        <w:t>2002). Furthermore, the level of engagement has also been associated with increased efficiency of operations, fewer service errors and better reputation of the organization.</w:t>
      </w:r>
    </w:p>
    <w:p w14:paraId="661EDC90" w14:textId="4B3D9CFC" w:rsidR="008E77E5" w:rsidRPr="008E77E5" w:rsidRDefault="008E77E5" w:rsidP="008E77E5">
      <w:pPr>
        <w:spacing w:line="480" w:lineRule="auto"/>
        <w:rPr>
          <w:rFonts w:ascii="Calibri" w:hAnsi="Calibri" w:cs="Calibri"/>
          <w:color w:val="000000" w:themeColor="text1"/>
          <w:szCs w:val="24"/>
        </w:rPr>
      </w:pPr>
      <w:r w:rsidRPr="008E77E5">
        <w:rPr>
          <w:rFonts w:ascii="Calibri" w:hAnsi="Calibri" w:cs="Calibri"/>
          <w:color w:val="000000" w:themeColor="text1"/>
          <w:szCs w:val="24"/>
        </w:rPr>
        <w:t>The high levels of engagement also lead to the reduction of turnover intentions, which is extremely important in an industry that has a high turnover rate. The above is supported by empirical evidence, which has indicated that employee engagement mediates the association between HRM practice and employee retention as well as service quality outcomes (Karatepe, 2013). Such results support strategic usefulness of engagement-oriented HRM systems in ensuring long-term hospitality performance.</w:t>
      </w:r>
    </w:p>
    <w:p w14:paraId="324DD52A" w14:textId="3AD2FCEB" w:rsidR="008E77E5" w:rsidRPr="008E77E5" w:rsidRDefault="008E77E5" w:rsidP="008E77E5">
      <w:pPr>
        <w:spacing w:line="480" w:lineRule="auto"/>
        <w:rPr>
          <w:rFonts w:ascii="Calibri" w:hAnsi="Calibri" w:cs="Calibri"/>
          <w:b/>
          <w:bCs/>
          <w:color w:val="000000" w:themeColor="text1"/>
          <w:szCs w:val="24"/>
        </w:rPr>
      </w:pPr>
      <w:r w:rsidRPr="008E77E5">
        <w:rPr>
          <w:rFonts w:ascii="Calibri" w:hAnsi="Calibri" w:cs="Calibri"/>
          <w:b/>
          <w:bCs/>
          <w:color w:val="000000" w:themeColor="text1"/>
          <w:szCs w:val="24"/>
        </w:rPr>
        <w:t>Research Gaps and Future Directions</w:t>
      </w:r>
    </w:p>
    <w:p w14:paraId="71889959" w14:textId="6EF7735D" w:rsidR="006664D5" w:rsidRPr="008E77E5" w:rsidRDefault="008E77E5" w:rsidP="008E77E5">
      <w:pPr>
        <w:spacing w:line="480" w:lineRule="auto"/>
        <w:rPr>
          <w:rFonts w:ascii="Calibri" w:hAnsi="Calibri" w:cs="Calibri"/>
          <w:color w:val="000000" w:themeColor="text1"/>
          <w:szCs w:val="24"/>
        </w:rPr>
      </w:pPr>
      <w:r w:rsidRPr="008E77E5">
        <w:rPr>
          <w:rFonts w:ascii="Calibri" w:hAnsi="Calibri" w:cs="Calibri"/>
          <w:color w:val="000000" w:themeColor="text1"/>
          <w:szCs w:val="24"/>
        </w:rPr>
        <w:t>Even though the HRM and employee engagement have been extensively studied, there are still gaps in hospitality literature. Numerous studies are based on cross-sectional design, which restricts causal relationships between the HRM practices and engagement outcomes. Also, there is a lack of research on how digital HRM systems and post-pandemic work organization influence employee engagement. Further research must be longitudinal and mixed-method research to capture the dynamic nature of engagement in the hospitality setting.</w:t>
      </w:r>
    </w:p>
    <w:p w14:paraId="305F14DD" w14:textId="77777777" w:rsidR="006664D5" w:rsidRPr="00CC2A71" w:rsidRDefault="006664D5" w:rsidP="006664D5">
      <w:pPr>
        <w:spacing w:line="480" w:lineRule="auto"/>
        <w:rPr>
          <w:rFonts w:ascii="Calibri" w:hAnsi="Calibri" w:cs="Calibri"/>
          <w:color w:val="000000" w:themeColor="text1"/>
          <w:szCs w:val="24"/>
        </w:rPr>
      </w:pPr>
    </w:p>
    <w:p w14:paraId="4AB030F6" w14:textId="77777777" w:rsidR="006664D5" w:rsidRDefault="006664D5" w:rsidP="006664D5">
      <w:pPr>
        <w:spacing w:line="480" w:lineRule="auto"/>
        <w:rPr>
          <w:rFonts w:ascii="Calibri" w:hAnsi="Calibri" w:cs="Calibri"/>
          <w:color w:val="000000" w:themeColor="text1"/>
          <w:szCs w:val="24"/>
        </w:rPr>
      </w:pPr>
    </w:p>
    <w:p w14:paraId="4367382F" w14:textId="77777777" w:rsidR="00A32DCC" w:rsidRDefault="00A32DCC" w:rsidP="006664D5">
      <w:pPr>
        <w:spacing w:line="480" w:lineRule="auto"/>
        <w:rPr>
          <w:rFonts w:ascii="Calibri" w:hAnsi="Calibri" w:cs="Calibri"/>
          <w:color w:val="000000" w:themeColor="text1"/>
          <w:szCs w:val="24"/>
        </w:rPr>
      </w:pPr>
    </w:p>
    <w:p w14:paraId="4E2BDEE8" w14:textId="77777777" w:rsidR="00A32DCC" w:rsidRPr="00CC2A71" w:rsidRDefault="00A32DCC" w:rsidP="006664D5">
      <w:pPr>
        <w:spacing w:line="480" w:lineRule="auto"/>
        <w:rPr>
          <w:rFonts w:ascii="Calibri" w:hAnsi="Calibri" w:cs="Calibri"/>
          <w:color w:val="000000" w:themeColor="text1"/>
          <w:szCs w:val="24"/>
        </w:rPr>
      </w:pPr>
    </w:p>
    <w:p w14:paraId="64531C91" w14:textId="77777777" w:rsidR="006664D5" w:rsidRPr="00CC2A71" w:rsidRDefault="006664D5" w:rsidP="006664D5">
      <w:pPr>
        <w:pStyle w:val="Heading1"/>
        <w:spacing w:line="480" w:lineRule="auto"/>
        <w:rPr>
          <w:rFonts w:ascii="Calibri" w:hAnsi="Calibri" w:cs="Calibri"/>
          <w:b/>
          <w:bCs/>
          <w:color w:val="000000" w:themeColor="text1"/>
          <w:sz w:val="24"/>
          <w:szCs w:val="24"/>
        </w:rPr>
      </w:pPr>
      <w:bookmarkStart w:id="3" w:name="_Toc220957853"/>
      <w:r w:rsidRPr="00CC2A71">
        <w:rPr>
          <w:rFonts w:ascii="Calibri" w:hAnsi="Calibri" w:cs="Calibri"/>
          <w:b/>
          <w:bCs/>
          <w:color w:val="000000" w:themeColor="text1"/>
          <w:sz w:val="24"/>
          <w:szCs w:val="24"/>
        </w:rPr>
        <w:lastRenderedPageBreak/>
        <w:t>Methodology</w:t>
      </w:r>
      <w:bookmarkEnd w:id="3"/>
      <w:r w:rsidRPr="00CC2A71">
        <w:rPr>
          <w:rFonts w:ascii="Calibri" w:hAnsi="Calibri" w:cs="Calibri"/>
          <w:b/>
          <w:bCs/>
          <w:color w:val="000000" w:themeColor="text1"/>
          <w:sz w:val="24"/>
          <w:szCs w:val="24"/>
        </w:rPr>
        <w:t xml:space="preserve"> </w:t>
      </w:r>
    </w:p>
    <w:p w14:paraId="637BC04A" w14:textId="77777777" w:rsidR="006664D5" w:rsidRPr="00CC2A71" w:rsidRDefault="006664D5" w:rsidP="006664D5">
      <w:pPr>
        <w:spacing w:line="480" w:lineRule="auto"/>
        <w:rPr>
          <w:rFonts w:ascii="Calibri" w:hAnsi="Calibri" w:cs="Calibri"/>
          <w:color w:val="000000" w:themeColor="text1"/>
          <w:szCs w:val="24"/>
        </w:rPr>
      </w:pPr>
      <w:r w:rsidRPr="00CC2A71">
        <w:rPr>
          <w:rFonts w:ascii="Calibri" w:hAnsi="Calibri" w:cs="Calibri"/>
          <w:color w:val="000000" w:themeColor="text1"/>
          <w:szCs w:val="24"/>
        </w:rPr>
        <w:t xml:space="preserve">This study adopts a </w:t>
      </w:r>
      <w:r w:rsidRPr="00CC2A71">
        <w:rPr>
          <w:rFonts w:ascii="Calibri" w:hAnsi="Calibri" w:cs="Calibri"/>
          <w:b/>
          <w:bCs/>
          <w:color w:val="000000" w:themeColor="text1"/>
          <w:szCs w:val="24"/>
        </w:rPr>
        <w:t>qualitative research methodology</w:t>
      </w:r>
      <w:r w:rsidRPr="00CC2A71">
        <w:rPr>
          <w:rFonts w:ascii="Calibri" w:hAnsi="Calibri" w:cs="Calibri"/>
          <w:color w:val="000000" w:themeColor="text1"/>
          <w:szCs w:val="24"/>
        </w:rPr>
        <w:t xml:space="preserve"> based on </w:t>
      </w:r>
      <w:r w:rsidRPr="00CC2A71">
        <w:rPr>
          <w:rFonts w:ascii="Calibri" w:hAnsi="Calibri" w:cs="Calibri"/>
          <w:b/>
          <w:bCs/>
          <w:color w:val="000000" w:themeColor="text1"/>
          <w:szCs w:val="24"/>
        </w:rPr>
        <w:t>secondary data analysis</w:t>
      </w:r>
      <w:r w:rsidRPr="00CC2A71">
        <w:rPr>
          <w:rFonts w:ascii="Calibri" w:hAnsi="Calibri" w:cs="Calibri"/>
          <w:color w:val="000000" w:themeColor="text1"/>
          <w:szCs w:val="24"/>
        </w:rPr>
        <w:t xml:space="preserve"> to examine strategic organizational structures in hospitality businesses. A qualitative approach is appropriate because the research aims to develop a theoretical and analytical understanding of how different organizational structures influence decision-making, operational efficiency, employee </w:t>
      </w:r>
      <w:proofErr w:type="spellStart"/>
      <w:r w:rsidRPr="00CC2A71">
        <w:rPr>
          <w:rFonts w:ascii="Calibri" w:hAnsi="Calibri" w:cs="Calibri"/>
          <w:color w:val="000000" w:themeColor="text1"/>
          <w:szCs w:val="24"/>
        </w:rPr>
        <w:t>behavior</w:t>
      </w:r>
      <w:proofErr w:type="spellEnd"/>
      <w:r w:rsidRPr="00CC2A71">
        <w:rPr>
          <w:rFonts w:ascii="Calibri" w:hAnsi="Calibri" w:cs="Calibri"/>
          <w:color w:val="000000" w:themeColor="text1"/>
          <w:szCs w:val="24"/>
        </w:rPr>
        <w:t>, and service quality rather than to test hypotheses using numerical data (Saunders, Lewis and Thornhill, 2019). Hospitality organizations operate in complex and dynamic environments, making qualitative inquiry suitable for capturing contextual and strategic insights.</w:t>
      </w:r>
    </w:p>
    <w:p w14:paraId="1D8CBA04" w14:textId="77777777" w:rsidR="006664D5" w:rsidRPr="00CC2A71" w:rsidRDefault="006664D5" w:rsidP="006664D5">
      <w:pPr>
        <w:spacing w:line="480" w:lineRule="auto"/>
        <w:rPr>
          <w:rFonts w:ascii="Calibri" w:hAnsi="Calibri" w:cs="Calibri"/>
          <w:color w:val="000000" w:themeColor="text1"/>
          <w:szCs w:val="24"/>
        </w:rPr>
      </w:pPr>
      <w:r w:rsidRPr="00CC2A71">
        <w:rPr>
          <w:rFonts w:ascii="Calibri" w:hAnsi="Calibri" w:cs="Calibri"/>
          <w:color w:val="000000" w:themeColor="text1"/>
          <w:szCs w:val="24"/>
        </w:rPr>
        <w:t xml:space="preserve">Secondary data were collected from a range of </w:t>
      </w:r>
      <w:r w:rsidRPr="00CC2A71">
        <w:rPr>
          <w:rFonts w:ascii="Calibri" w:hAnsi="Calibri" w:cs="Calibri"/>
          <w:b/>
          <w:bCs/>
          <w:color w:val="000000" w:themeColor="text1"/>
          <w:szCs w:val="24"/>
        </w:rPr>
        <w:t>credible academic and professional sources</w:t>
      </w:r>
      <w:r w:rsidRPr="00CC2A71">
        <w:rPr>
          <w:rFonts w:ascii="Calibri" w:hAnsi="Calibri" w:cs="Calibri"/>
          <w:color w:val="000000" w:themeColor="text1"/>
          <w:szCs w:val="24"/>
        </w:rPr>
        <w:t>, including peer-reviewed journal articles, academic textbooks, industry reports, and reputable business publications. Key sources included literature on organizational theory, strategic management, and hospitality management to ensure strong theoretical grounding. Foundational theories such as contingency theory, structural configurations, and strategic alignment were used to frame the analysis (Chandler, 1962; Mintzberg, 1983). In addition, real-world examples from internationally recognized hospitality organizations were incorporated to demonstrate practical applications of theoretical concepts.</w:t>
      </w:r>
    </w:p>
    <w:p w14:paraId="3AC8EAD8" w14:textId="77777777" w:rsidR="006664D5" w:rsidRPr="00CC2A71" w:rsidRDefault="006664D5" w:rsidP="006664D5">
      <w:pPr>
        <w:spacing w:line="480" w:lineRule="auto"/>
        <w:rPr>
          <w:rFonts w:ascii="Calibri" w:hAnsi="Calibri" w:cs="Calibri"/>
          <w:color w:val="000000" w:themeColor="text1"/>
          <w:szCs w:val="24"/>
        </w:rPr>
      </w:pPr>
      <w:r w:rsidRPr="00CC2A71">
        <w:rPr>
          <w:rFonts w:ascii="Calibri" w:hAnsi="Calibri" w:cs="Calibri"/>
          <w:color w:val="000000" w:themeColor="text1"/>
          <w:szCs w:val="24"/>
        </w:rPr>
        <w:t xml:space="preserve">The data collection process followed a </w:t>
      </w:r>
      <w:r w:rsidRPr="00CC2A71">
        <w:rPr>
          <w:rFonts w:ascii="Calibri" w:hAnsi="Calibri" w:cs="Calibri"/>
          <w:b/>
          <w:bCs/>
          <w:color w:val="000000" w:themeColor="text1"/>
          <w:szCs w:val="24"/>
        </w:rPr>
        <w:t>systematic literature review approach</w:t>
      </w:r>
      <w:r w:rsidRPr="00CC2A71">
        <w:rPr>
          <w:rFonts w:ascii="Calibri" w:hAnsi="Calibri" w:cs="Calibri"/>
          <w:color w:val="000000" w:themeColor="text1"/>
          <w:szCs w:val="24"/>
        </w:rPr>
        <w:t xml:space="preserve">. Relevant keywords such as </w:t>
      </w:r>
      <w:r w:rsidRPr="00CC2A71">
        <w:rPr>
          <w:rFonts w:ascii="Calibri" w:hAnsi="Calibri" w:cs="Calibri"/>
          <w:i/>
          <w:iCs/>
          <w:color w:val="000000" w:themeColor="text1"/>
          <w:szCs w:val="24"/>
        </w:rPr>
        <w:t>organizational structure</w:t>
      </w:r>
      <w:r w:rsidRPr="00CC2A71">
        <w:rPr>
          <w:rFonts w:ascii="Calibri" w:hAnsi="Calibri" w:cs="Calibri"/>
          <w:color w:val="000000" w:themeColor="text1"/>
          <w:szCs w:val="24"/>
        </w:rPr>
        <w:t xml:space="preserve">, </w:t>
      </w:r>
      <w:r w:rsidRPr="00CC2A71">
        <w:rPr>
          <w:rFonts w:ascii="Calibri" w:hAnsi="Calibri" w:cs="Calibri"/>
          <w:i/>
          <w:iCs/>
          <w:color w:val="000000" w:themeColor="text1"/>
          <w:szCs w:val="24"/>
        </w:rPr>
        <w:t>hospitality management</w:t>
      </w:r>
      <w:r w:rsidRPr="00CC2A71">
        <w:rPr>
          <w:rFonts w:ascii="Calibri" w:hAnsi="Calibri" w:cs="Calibri"/>
          <w:color w:val="000000" w:themeColor="text1"/>
          <w:szCs w:val="24"/>
        </w:rPr>
        <w:t xml:space="preserve">, </w:t>
      </w:r>
      <w:r w:rsidRPr="00CC2A71">
        <w:rPr>
          <w:rFonts w:ascii="Calibri" w:hAnsi="Calibri" w:cs="Calibri"/>
          <w:i/>
          <w:iCs/>
          <w:color w:val="000000" w:themeColor="text1"/>
          <w:szCs w:val="24"/>
        </w:rPr>
        <w:t>hierarchical structure</w:t>
      </w:r>
      <w:r w:rsidRPr="00CC2A71">
        <w:rPr>
          <w:rFonts w:ascii="Calibri" w:hAnsi="Calibri" w:cs="Calibri"/>
          <w:color w:val="000000" w:themeColor="text1"/>
          <w:szCs w:val="24"/>
        </w:rPr>
        <w:t xml:space="preserve">, </w:t>
      </w:r>
      <w:r w:rsidRPr="00CC2A71">
        <w:rPr>
          <w:rFonts w:ascii="Calibri" w:hAnsi="Calibri" w:cs="Calibri"/>
          <w:i/>
          <w:iCs/>
          <w:color w:val="000000" w:themeColor="text1"/>
          <w:szCs w:val="24"/>
        </w:rPr>
        <w:t>flat organizations</w:t>
      </w:r>
      <w:r w:rsidRPr="00CC2A71">
        <w:rPr>
          <w:rFonts w:ascii="Calibri" w:hAnsi="Calibri" w:cs="Calibri"/>
          <w:color w:val="000000" w:themeColor="text1"/>
          <w:szCs w:val="24"/>
        </w:rPr>
        <w:t xml:space="preserve">, and </w:t>
      </w:r>
      <w:r w:rsidRPr="00CC2A71">
        <w:rPr>
          <w:rFonts w:ascii="Calibri" w:hAnsi="Calibri" w:cs="Calibri"/>
          <w:i/>
          <w:iCs/>
          <w:color w:val="000000" w:themeColor="text1"/>
          <w:szCs w:val="24"/>
        </w:rPr>
        <w:t>hybrid structures</w:t>
      </w:r>
      <w:r w:rsidRPr="00CC2A71">
        <w:rPr>
          <w:rFonts w:ascii="Calibri" w:hAnsi="Calibri" w:cs="Calibri"/>
          <w:color w:val="000000" w:themeColor="text1"/>
          <w:szCs w:val="24"/>
        </w:rPr>
        <w:t xml:space="preserve"> were used to identify appropriate sources. Selection criteria focused on relevance to the hospitality industry, academic credibility, and recency of publication </w:t>
      </w:r>
      <w:r w:rsidRPr="00CC2A71">
        <w:rPr>
          <w:rFonts w:ascii="Calibri" w:hAnsi="Calibri" w:cs="Calibri"/>
          <w:color w:val="000000" w:themeColor="text1"/>
          <w:szCs w:val="24"/>
        </w:rPr>
        <w:lastRenderedPageBreak/>
        <w:t>to ensure contemporary relevance. Older seminal works were included where necessary to support foundational theories.</w:t>
      </w:r>
    </w:p>
    <w:p w14:paraId="48E62D92" w14:textId="77777777" w:rsidR="006664D5" w:rsidRPr="00CC2A71" w:rsidRDefault="006664D5" w:rsidP="006664D5">
      <w:pPr>
        <w:spacing w:line="480" w:lineRule="auto"/>
        <w:rPr>
          <w:rFonts w:ascii="Calibri" w:hAnsi="Calibri" w:cs="Calibri"/>
          <w:color w:val="000000" w:themeColor="text1"/>
          <w:szCs w:val="24"/>
        </w:rPr>
      </w:pPr>
      <w:r w:rsidRPr="00CC2A71">
        <w:rPr>
          <w:rFonts w:ascii="Calibri" w:hAnsi="Calibri" w:cs="Calibri"/>
          <w:color w:val="000000" w:themeColor="text1"/>
          <w:szCs w:val="24"/>
        </w:rPr>
        <w:t xml:space="preserve">Data analysis involved a </w:t>
      </w:r>
      <w:r w:rsidRPr="00CC2A71">
        <w:rPr>
          <w:rFonts w:ascii="Calibri" w:hAnsi="Calibri" w:cs="Calibri"/>
          <w:b/>
          <w:bCs/>
          <w:color w:val="000000" w:themeColor="text1"/>
          <w:szCs w:val="24"/>
        </w:rPr>
        <w:t>thematic analysis</w:t>
      </w:r>
      <w:r w:rsidRPr="00CC2A71">
        <w:rPr>
          <w:rFonts w:ascii="Calibri" w:hAnsi="Calibri" w:cs="Calibri"/>
          <w:color w:val="000000" w:themeColor="text1"/>
          <w:szCs w:val="24"/>
        </w:rPr>
        <w:t xml:space="preserve">, whereby patterns and recurring themes related to organizational structure and performance were identified across the literature. Themes such as decision-making authority, communication flows, employee empowerment, operational efficiency, and service quality were </w:t>
      </w:r>
      <w:proofErr w:type="spellStart"/>
      <w:r w:rsidRPr="00CC2A71">
        <w:rPr>
          <w:rFonts w:ascii="Calibri" w:hAnsi="Calibri" w:cs="Calibri"/>
          <w:color w:val="000000" w:themeColor="text1"/>
          <w:szCs w:val="24"/>
        </w:rPr>
        <w:t>analyzed</w:t>
      </w:r>
      <w:proofErr w:type="spellEnd"/>
      <w:r w:rsidRPr="00CC2A71">
        <w:rPr>
          <w:rFonts w:ascii="Calibri" w:hAnsi="Calibri" w:cs="Calibri"/>
          <w:color w:val="000000" w:themeColor="text1"/>
          <w:szCs w:val="24"/>
        </w:rPr>
        <w:t xml:space="preserve"> and compared across different structural models. Case evidence from hospitality organizations was used to support and contextualize these themes, enhancing the practical relevance of the findings (Yin, 2018).</w:t>
      </w:r>
    </w:p>
    <w:p w14:paraId="416F105B" w14:textId="77777777" w:rsidR="006664D5" w:rsidRPr="00CC2A71" w:rsidRDefault="006664D5" w:rsidP="006664D5">
      <w:pPr>
        <w:spacing w:line="480" w:lineRule="auto"/>
        <w:rPr>
          <w:rFonts w:ascii="Calibri" w:hAnsi="Calibri" w:cs="Calibri"/>
          <w:color w:val="000000" w:themeColor="text1"/>
          <w:szCs w:val="24"/>
        </w:rPr>
      </w:pPr>
      <w:r w:rsidRPr="00CC2A71">
        <w:rPr>
          <w:rFonts w:ascii="Calibri" w:hAnsi="Calibri" w:cs="Calibri"/>
          <w:color w:val="000000" w:themeColor="text1"/>
          <w:szCs w:val="24"/>
        </w:rPr>
        <w:t>The use of secondary data offers several advantages, including access to a wide range of perspectives and established research findings. However, it also presents limitations, such as reliance on existing interpretations and the inability to capture organization-specific primary insights. To mitigate these limitations, the study draws from multiple sources and compares differing viewpoints to ensure balanced analysis and academic rigor.</w:t>
      </w:r>
    </w:p>
    <w:p w14:paraId="5CD3567D" w14:textId="77777777" w:rsidR="006664D5" w:rsidRPr="00CC2A71" w:rsidRDefault="006664D5" w:rsidP="006664D5">
      <w:pPr>
        <w:spacing w:line="480" w:lineRule="auto"/>
        <w:rPr>
          <w:rFonts w:ascii="Calibri" w:hAnsi="Calibri" w:cs="Calibri"/>
          <w:color w:val="000000" w:themeColor="text1"/>
          <w:szCs w:val="24"/>
        </w:rPr>
      </w:pPr>
      <w:r w:rsidRPr="00CC2A71">
        <w:rPr>
          <w:rFonts w:ascii="Calibri" w:hAnsi="Calibri" w:cs="Calibri"/>
          <w:color w:val="000000" w:themeColor="text1"/>
          <w:szCs w:val="24"/>
        </w:rPr>
        <w:t>Overall, the chosen methodology supports the research objectives by enabling a comprehensive examination of organizational structures within hospitality businesses while ensuring reliability, validity, and theoretical depth.</w:t>
      </w:r>
    </w:p>
    <w:p w14:paraId="32A9D4AD" w14:textId="77777777" w:rsidR="006664D5" w:rsidRDefault="006664D5" w:rsidP="006664D5">
      <w:pPr>
        <w:spacing w:line="480" w:lineRule="auto"/>
        <w:jc w:val="center"/>
        <w:rPr>
          <w:rFonts w:ascii="Calibri" w:hAnsi="Calibri" w:cs="Calibri"/>
          <w:b/>
          <w:bCs/>
          <w:color w:val="000000" w:themeColor="text1"/>
          <w:szCs w:val="24"/>
        </w:rPr>
      </w:pPr>
    </w:p>
    <w:p w14:paraId="1BB800BD" w14:textId="77777777" w:rsidR="003C35D5" w:rsidRPr="00CC2A71" w:rsidRDefault="003C35D5" w:rsidP="006664D5">
      <w:pPr>
        <w:spacing w:line="480" w:lineRule="auto"/>
        <w:jc w:val="center"/>
        <w:rPr>
          <w:rFonts w:ascii="Calibri" w:hAnsi="Calibri" w:cs="Calibri"/>
          <w:b/>
          <w:bCs/>
          <w:color w:val="000000" w:themeColor="text1"/>
          <w:szCs w:val="24"/>
        </w:rPr>
      </w:pPr>
    </w:p>
    <w:p w14:paraId="3850AD77" w14:textId="77777777" w:rsidR="006664D5" w:rsidRPr="00CC2A71" w:rsidRDefault="006664D5" w:rsidP="006664D5">
      <w:pPr>
        <w:pStyle w:val="Heading1"/>
        <w:spacing w:line="480" w:lineRule="auto"/>
        <w:rPr>
          <w:rFonts w:ascii="Calibri" w:hAnsi="Calibri" w:cs="Calibri"/>
          <w:b/>
          <w:bCs/>
          <w:color w:val="000000" w:themeColor="text1"/>
          <w:sz w:val="24"/>
          <w:szCs w:val="24"/>
        </w:rPr>
      </w:pPr>
      <w:bookmarkStart w:id="4" w:name="_Toc220957854"/>
      <w:r w:rsidRPr="00CC2A71">
        <w:rPr>
          <w:rFonts w:ascii="Calibri" w:hAnsi="Calibri" w:cs="Calibri"/>
          <w:b/>
          <w:bCs/>
          <w:color w:val="000000" w:themeColor="text1"/>
          <w:sz w:val="24"/>
          <w:szCs w:val="24"/>
        </w:rPr>
        <w:t>Findings</w:t>
      </w:r>
      <w:bookmarkEnd w:id="4"/>
      <w:r w:rsidRPr="00CC2A71">
        <w:rPr>
          <w:rFonts w:ascii="Calibri" w:hAnsi="Calibri" w:cs="Calibri"/>
          <w:b/>
          <w:bCs/>
          <w:color w:val="000000" w:themeColor="text1"/>
          <w:sz w:val="24"/>
          <w:szCs w:val="24"/>
        </w:rPr>
        <w:t xml:space="preserve"> </w:t>
      </w:r>
    </w:p>
    <w:p w14:paraId="4E5F6FAC" w14:textId="77777777" w:rsidR="003C35D5" w:rsidRPr="003C35D5" w:rsidRDefault="003C35D5" w:rsidP="003C35D5">
      <w:pPr>
        <w:spacing w:line="480" w:lineRule="auto"/>
        <w:rPr>
          <w:rFonts w:ascii="Calibri" w:hAnsi="Calibri" w:cs="Calibri"/>
          <w:color w:val="000000" w:themeColor="text1"/>
          <w:szCs w:val="24"/>
        </w:rPr>
      </w:pPr>
      <w:r w:rsidRPr="003C35D5">
        <w:rPr>
          <w:rFonts w:ascii="Calibri" w:hAnsi="Calibri" w:cs="Calibri"/>
          <w:color w:val="000000" w:themeColor="text1"/>
          <w:szCs w:val="24"/>
        </w:rPr>
        <w:t>1. HRM Practices as a Major Employee Engagement Drivers.</w:t>
      </w:r>
    </w:p>
    <w:p w14:paraId="3E4C0408" w14:textId="77777777" w:rsidR="003C35D5" w:rsidRPr="003C35D5" w:rsidRDefault="003C35D5" w:rsidP="003C35D5">
      <w:pPr>
        <w:spacing w:line="480" w:lineRule="auto"/>
        <w:rPr>
          <w:rFonts w:ascii="Calibri" w:hAnsi="Calibri" w:cs="Calibri"/>
          <w:color w:val="000000" w:themeColor="text1"/>
          <w:szCs w:val="24"/>
        </w:rPr>
      </w:pPr>
    </w:p>
    <w:p w14:paraId="05438BFD" w14:textId="77777777" w:rsidR="003C35D5" w:rsidRPr="003C35D5" w:rsidRDefault="003C35D5" w:rsidP="003C35D5">
      <w:pPr>
        <w:spacing w:line="480" w:lineRule="auto"/>
        <w:rPr>
          <w:rFonts w:ascii="Calibri" w:hAnsi="Calibri" w:cs="Calibri"/>
          <w:color w:val="000000" w:themeColor="text1"/>
          <w:szCs w:val="24"/>
        </w:rPr>
      </w:pPr>
      <w:r w:rsidRPr="003C35D5">
        <w:rPr>
          <w:rFonts w:ascii="Calibri" w:hAnsi="Calibri" w:cs="Calibri"/>
          <w:color w:val="000000" w:themeColor="text1"/>
          <w:szCs w:val="24"/>
        </w:rPr>
        <w:t xml:space="preserve">The review of current literature and evidence of the hospitality cases has indicated that Human Resource Management (HRM) practices are decisive in determining the level of employee engagement. The most influential HRM practice is training and development. The results show that workers in the hospitality industry who undergo regular training are more confident, are more service-oriented, and have more commitment to their organizations through emotions. In addition to the technical and interpersonal competencies, training helps employees feel valued and appreciated by the organization as it indicates investment in them. Consequently, employees would tend to exhibit discretionary effort and proactive service </w:t>
      </w:r>
      <w:proofErr w:type="spellStart"/>
      <w:r w:rsidRPr="003C35D5">
        <w:rPr>
          <w:rFonts w:ascii="Calibri" w:hAnsi="Calibri" w:cs="Calibri"/>
          <w:color w:val="000000" w:themeColor="text1"/>
          <w:szCs w:val="24"/>
        </w:rPr>
        <w:t>behaviors</w:t>
      </w:r>
      <w:proofErr w:type="spellEnd"/>
      <w:r w:rsidRPr="003C35D5">
        <w:rPr>
          <w:rFonts w:ascii="Calibri" w:hAnsi="Calibri" w:cs="Calibri"/>
          <w:color w:val="000000" w:themeColor="text1"/>
          <w:szCs w:val="24"/>
        </w:rPr>
        <w:t>.</w:t>
      </w:r>
    </w:p>
    <w:p w14:paraId="0B5E1DAA" w14:textId="77777777" w:rsidR="003C35D5" w:rsidRPr="003C35D5" w:rsidRDefault="003C35D5" w:rsidP="003C35D5">
      <w:pPr>
        <w:spacing w:line="480" w:lineRule="auto"/>
        <w:rPr>
          <w:rFonts w:ascii="Calibri" w:hAnsi="Calibri" w:cs="Calibri"/>
          <w:color w:val="000000" w:themeColor="text1"/>
          <w:szCs w:val="24"/>
        </w:rPr>
      </w:pPr>
    </w:p>
    <w:p w14:paraId="34A4B170" w14:textId="77777777" w:rsidR="003C35D5" w:rsidRPr="003C35D5" w:rsidRDefault="003C35D5" w:rsidP="003C35D5">
      <w:pPr>
        <w:spacing w:line="480" w:lineRule="auto"/>
        <w:rPr>
          <w:rFonts w:ascii="Calibri" w:hAnsi="Calibri" w:cs="Calibri"/>
          <w:color w:val="000000" w:themeColor="text1"/>
          <w:szCs w:val="24"/>
        </w:rPr>
      </w:pPr>
      <w:r w:rsidRPr="003C35D5">
        <w:rPr>
          <w:rFonts w:ascii="Calibri" w:hAnsi="Calibri" w:cs="Calibri"/>
          <w:color w:val="000000" w:themeColor="text1"/>
          <w:szCs w:val="24"/>
        </w:rPr>
        <w:t>The engagement outcomes are also affected significantly by the performance management systems. Trust and motivation are encouraged by transparent appraisal systems that emphasize developmental feedback as opposed to punitive appraisal systems. The results indicate that employees in the hospitality industry, who have a clear idea of the performance expectations and are provided with constructive feedback, are more engaged and ready to align their efforts with the organizational goals. In contrast, appraisal systems that are wrongly designed or inconsistent with each other stimulate the perception of unfairness, which results in disengagement and dissatisfaction.</w:t>
      </w:r>
    </w:p>
    <w:p w14:paraId="2D37F5BF" w14:textId="77777777" w:rsidR="003C35D5" w:rsidRPr="003C35D5" w:rsidRDefault="003C35D5" w:rsidP="003C35D5">
      <w:pPr>
        <w:spacing w:line="480" w:lineRule="auto"/>
        <w:rPr>
          <w:rFonts w:ascii="Calibri" w:hAnsi="Calibri" w:cs="Calibri"/>
          <w:color w:val="000000" w:themeColor="text1"/>
          <w:szCs w:val="24"/>
        </w:rPr>
      </w:pPr>
    </w:p>
    <w:p w14:paraId="56DB74FB" w14:textId="77777777" w:rsidR="003C35D5" w:rsidRPr="003C35D5" w:rsidRDefault="003C35D5" w:rsidP="003C35D5">
      <w:pPr>
        <w:spacing w:line="480" w:lineRule="auto"/>
        <w:rPr>
          <w:rFonts w:ascii="Calibri" w:hAnsi="Calibri" w:cs="Calibri"/>
          <w:color w:val="000000" w:themeColor="text1"/>
          <w:szCs w:val="24"/>
        </w:rPr>
      </w:pPr>
      <w:r w:rsidRPr="003C35D5">
        <w:rPr>
          <w:rFonts w:ascii="Calibri" w:hAnsi="Calibri" w:cs="Calibri"/>
          <w:color w:val="000000" w:themeColor="text1"/>
          <w:szCs w:val="24"/>
        </w:rPr>
        <w:t xml:space="preserve">The career development opportunities also enhance employee engagement because it meets the long-term motivational needs of employees. The discussion has established that hospitality </w:t>
      </w:r>
      <w:r w:rsidRPr="003C35D5">
        <w:rPr>
          <w:rFonts w:ascii="Calibri" w:hAnsi="Calibri" w:cs="Calibri"/>
          <w:color w:val="000000" w:themeColor="text1"/>
          <w:szCs w:val="24"/>
        </w:rPr>
        <w:lastRenderedPageBreak/>
        <w:t>companies with explicit promotion channels, mentoring services, and internal mobility measures witness reduced turnover intentions amongst employees. When employees feel that they have career development opportunities, they tend to exhibit company loyalty and long-term involvement that would help to lower the level of attrition that has characterized the hospitality industry.</w:t>
      </w:r>
    </w:p>
    <w:p w14:paraId="3C239DCC" w14:textId="77777777" w:rsidR="003C35D5" w:rsidRPr="003C35D5" w:rsidRDefault="003C35D5" w:rsidP="003C35D5">
      <w:pPr>
        <w:spacing w:line="480" w:lineRule="auto"/>
        <w:rPr>
          <w:rFonts w:ascii="Calibri" w:hAnsi="Calibri" w:cs="Calibri"/>
          <w:color w:val="000000" w:themeColor="text1"/>
          <w:szCs w:val="24"/>
        </w:rPr>
      </w:pPr>
    </w:p>
    <w:p w14:paraId="3D696211" w14:textId="77777777" w:rsidR="003C35D5" w:rsidRPr="003C35D5" w:rsidRDefault="003C35D5" w:rsidP="003C35D5">
      <w:pPr>
        <w:spacing w:line="480" w:lineRule="auto"/>
        <w:rPr>
          <w:rFonts w:ascii="Calibri" w:hAnsi="Calibri" w:cs="Calibri"/>
          <w:color w:val="000000" w:themeColor="text1"/>
          <w:szCs w:val="24"/>
        </w:rPr>
      </w:pPr>
      <w:r w:rsidRPr="003C35D5">
        <w:rPr>
          <w:rFonts w:ascii="Calibri" w:hAnsi="Calibri" w:cs="Calibri"/>
          <w:color w:val="000000" w:themeColor="text1"/>
          <w:szCs w:val="24"/>
        </w:rPr>
        <w:t>2. Types of Leadership and their impact on Engagement.</w:t>
      </w:r>
    </w:p>
    <w:p w14:paraId="0EE4008B" w14:textId="77777777" w:rsidR="003C35D5" w:rsidRPr="003C35D5" w:rsidRDefault="003C35D5" w:rsidP="003C35D5">
      <w:pPr>
        <w:spacing w:line="480" w:lineRule="auto"/>
        <w:rPr>
          <w:rFonts w:ascii="Calibri" w:hAnsi="Calibri" w:cs="Calibri"/>
          <w:color w:val="000000" w:themeColor="text1"/>
          <w:szCs w:val="24"/>
        </w:rPr>
      </w:pPr>
    </w:p>
    <w:p w14:paraId="5BF58A38" w14:textId="77777777" w:rsidR="003C35D5" w:rsidRPr="003C35D5" w:rsidRDefault="003C35D5" w:rsidP="003C35D5">
      <w:pPr>
        <w:spacing w:line="480" w:lineRule="auto"/>
        <w:rPr>
          <w:rFonts w:ascii="Calibri" w:hAnsi="Calibri" w:cs="Calibri"/>
          <w:color w:val="000000" w:themeColor="text1"/>
          <w:szCs w:val="24"/>
        </w:rPr>
      </w:pPr>
      <w:r w:rsidRPr="003C35D5">
        <w:rPr>
          <w:rFonts w:ascii="Calibri" w:hAnsi="Calibri" w:cs="Calibri"/>
          <w:color w:val="000000" w:themeColor="text1"/>
          <w:szCs w:val="24"/>
        </w:rPr>
        <w:t>Leadership style has been identified as an important contextual consideration that determines the effectiveness of HRM practices. The results have been regularly used to show that transformational and supportive approaches to leadership have a positive impact on employee engagement in the hospitality context. Leaders who share a clear vision, offer personalized assistance, and promote employee involvement build psychologically secure environments that promote trust and involvement.</w:t>
      </w:r>
    </w:p>
    <w:p w14:paraId="75C4693F" w14:textId="77777777" w:rsidR="003C35D5" w:rsidRPr="003C35D5" w:rsidRDefault="003C35D5" w:rsidP="003C35D5">
      <w:pPr>
        <w:spacing w:line="480" w:lineRule="auto"/>
        <w:rPr>
          <w:rFonts w:ascii="Calibri" w:hAnsi="Calibri" w:cs="Calibri"/>
          <w:color w:val="000000" w:themeColor="text1"/>
          <w:szCs w:val="24"/>
        </w:rPr>
      </w:pPr>
    </w:p>
    <w:p w14:paraId="0B068D1A" w14:textId="77777777" w:rsidR="003C35D5" w:rsidRPr="003C35D5" w:rsidRDefault="003C35D5" w:rsidP="003C35D5">
      <w:pPr>
        <w:spacing w:line="480" w:lineRule="auto"/>
        <w:rPr>
          <w:rFonts w:ascii="Calibri" w:hAnsi="Calibri" w:cs="Calibri"/>
          <w:color w:val="000000" w:themeColor="text1"/>
          <w:szCs w:val="24"/>
        </w:rPr>
      </w:pPr>
      <w:r w:rsidRPr="003C35D5">
        <w:rPr>
          <w:rFonts w:ascii="Calibri" w:hAnsi="Calibri" w:cs="Calibri"/>
          <w:color w:val="000000" w:themeColor="text1"/>
          <w:szCs w:val="24"/>
        </w:rPr>
        <w:t xml:space="preserve">Conversely, authoritarian and over transactional styles of leadership are linked to increased rates of emotional fatigue and disengagement. The employees in the hospitality industry where the supervisory structures are strict may have reduced autonomy and get heightened stress, thus adversely influencing service quality and morale. The review indicates that leadership </w:t>
      </w:r>
      <w:r w:rsidRPr="003C35D5">
        <w:rPr>
          <w:rFonts w:ascii="Calibri" w:hAnsi="Calibri" w:cs="Calibri"/>
          <w:color w:val="000000" w:themeColor="text1"/>
          <w:szCs w:val="24"/>
        </w:rPr>
        <w:lastRenderedPageBreak/>
        <w:t>conduct may support or put off the effect of HRM practices, and leadership development should be regarded as an essential part of engagement-oriented HR strategies.</w:t>
      </w:r>
    </w:p>
    <w:p w14:paraId="155FD1A0" w14:textId="77777777" w:rsidR="003C35D5" w:rsidRPr="003C35D5" w:rsidRDefault="003C35D5" w:rsidP="003C35D5">
      <w:pPr>
        <w:spacing w:line="480" w:lineRule="auto"/>
        <w:rPr>
          <w:rFonts w:ascii="Calibri" w:hAnsi="Calibri" w:cs="Calibri"/>
          <w:color w:val="000000" w:themeColor="text1"/>
          <w:szCs w:val="24"/>
        </w:rPr>
      </w:pPr>
    </w:p>
    <w:p w14:paraId="17F99CED" w14:textId="77777777" w:rsidR="003C35D5" w:rsidRPr="003C35D5" w:rsidRDefault="003C35D5" w:rsidP="003C35D5">
      <w:pPr>
        <w:spacing w:line="480" w:lineRule="auto"/>
        <w:rPr>
          <w:rFonts w:ascii="Calibri" w:hAnsi="Calibri" w:cs="Calibri"/>
          <w:color w:val="000000" w:themeColor="text1"/>
          <w:szCs w:val="24"/>
        </w:rPr>
      </w:pPr>
      <w:r w:rsidRPr="003C35D5">
        <w:rPr>
          <w:rFonts w:ascii="Calibri" w:hAnsi="Calibri" w:cs="Calibri"/>
          <w:color w:val="000000" w:themeColor="text1"/>
          <w:szCs w:val="24"/>
        </w:rPr>
        <w:t xml:space="preserve">A servant leadership also proves to be a very useful style in hospitality organizations. Servant leaders promote relational relationships and improve the level of purpose in employee lives by focusing on the welfare of the employees and ethical </w:t>
      </w:r>
      <w:proofErr w:type="spellStart"/>
      <w:r w:rsidRPr="003C35D5">
        <w:rPr>
          <w:rFonts w:ascii="Calibri" w:hAnsi="Calibri" w:cs="Calibri"/>
          <w:color w:val="000000" w:themeColor="text1"/>
          <w:szCs w:val="24"/>
        </w:rPr>
        <w:t>behavior</w:t>
      </w:r>
      <w:proofErr w:type="spellEnd"/>
      <w:r w:rsidRPr="003C35D5">
        <w:rPr>
          <w:rFonts w:ascii="Calibri" w:hAnsi="Calibri" w:cs="Calibri"/>
          <w:color w:val="000000" w:themeColor="text1"/>
          <w:szCs w:val="24"/>
        </w:rPr>
        <w:t xml:space="preserve">. This kind of leadership is particularly applicable </w:t>
      </w:r>
      <w:proofErr w:type="gramStart"/>
      <w:r w:rsidRPr="003C35D5">
        <w:rPr>
          <w:rFonts w:ascii="Calibri" w:hAnsi="Calibri" w:cs="Calibri"/>
          <w:color w:val="000000" w:themeColor="text1"/>
          <w:szCs w:val="24"/>
        </w:rPr>
        <w:t>in service</w:t>
      </w:r>
      <w:proofErr w:type="gramEnd"/>
      <w:r w:rsidRPr="003C35D5">
        <w:rPr>
          <w:rFonts w:ascii="Calibri" w:hAnsi="Calibri" w:cs="Calibri"/>
          <w:color w:val="000000" w:themeColor="text1"/>
          <w:szCs w:val="24"/>
        </w:rPr>
        <w:t xml:space="preserve"> settings where emotional work and socialization are the main determinants of performance.</w:t>
      </w:r>
    </w:p>
    <w:p w14:paraId="5E05F39B" w14:textId="77777777" w:rsidR="003C35D5" w:rsidRPr="003C35D5" w:rsidRDefault="003C35D5" w:rsidP="003C35D5">
      <w:pPr>
        <w:spacing w:line="480" w:lineRule="auto"/>
        <w:rPr>
          <w:rFonts w:ascii="Calibri" w:hAnsi="Calibri" w:cs="Calibri"/>
          <w:color w:val="000000" w:themeColor="text1"/>
          <w:szCs w:val="24"/>
        </w:rPr>
      </w:pPr>
    </w:p>
    <w:p w14:paraId="255F7467" w14:textId="77777777" w:rsidR="003C35D5" w:rsidRPr="003C35D5" w:rsidRDefault="003C35D5" w:rsidP="003C35D5">
      <w:pPr>
        <w:spacing w:line="480" w:lineRule="auto"/>
        <w:rPr>
          <w:rFonts w:ascii="Calibri" w:hAnsi="Calibri" w:cs="Calibri"/>
          <w:color w:val="000000" w:themeColor="text1"/>
          <w:szCs w:val="24"/>
        </w:rPr>
      </w:pPr>
      <w:r w:rsidRPr="003C35D5">
        <w:rPr>
          <w:rFonts w:ascii="Calibri" w:hAnsi="Calibri" w:cs="Calibri"/>
          <w:color w:val="000000" w:themeColor="text1"/>
          <w:szCs w:val="24"/>
        </w:rPr>
        <w:t>3. Outcomes of Employee Well-Being and Engagement.</w:t>
      </w:r>
    </w:p>
    <w:p w14:paraId="5A0146E4" w14:textId="77777777" w:rsidR="003C35D5" w:rsidRPr="003C35D5" w:rsidRDefault="003C35D5" w:rsidP="003C35D5">
      <w:pPr>
        <w:spacing w:line="480" w:lineRule="auto"/>
        <w:rPr>
          <w:rFonts w:ascii="Calibri" w:hAnsi="Calibri" w:cs="Calibri"/>
          <w:color w:val="000000" w:themeColor="text1"/>
          <w:szCs w:val="24"/>
        </w:rPr>
      </w:pPr>
    </w:p>
    <w:p w14:paraId="7E0990DC" w14:textId="77777777" w:rsidR="003C35D5" w:rsidRPr="003C35D5" w:rsidRDefault="003C35D5" w:rsidP="003C35D5">
      <w:pPr>
        <w:spacing w:line="480" w:lineRule="auto"/>
        <w:rPr>
          <w:rFonts w:ascii="Calibri" w:hAnsi="Calibri" w:cs="Calibri"/>
          <w:color w:val="000000" w:themeColor="text1"/>
          <w:szCs w:val="24"/>
        </w:rPr>
      </w:pPr>
      <w:r w:rsidRPr="003C35D5">
        <w:rPr>
          <w:rFonts w:ascii="Calibri" w:hAnsi="Calibri" w:cs="Calibri"/>
          <w:color w:val="000000" w:themeColor="text1"/>
          <w:szCs w:val="24"/>
        </w:rPr>
        <w:t xml:space="preserve">Personal welfare has been found to be a key factor of engagement in hospitality organizations. The results have shown that job demands are high, which includes long working hours, inconsistent shifts, and emotional </w:t>
      </w:r>
      <w:proofErr w:type="spellStart"/>
      <w:r w:rsidRPr="003C35D5">
        <w:rPr>
          <w:rFonts w:ascii="Calibri" w:hAnsi="Calibri" w:cs="Calibri"/>
          <w:color w:val="000000" w:themeColor="text1"/>
          <w:szCs w:val="24"/>
        </w:rPr>
        <w:t>labor</w:t>
      </w:r>
      <w:proofErr w:type="spellEnd"/>
      <w:r w:rsidRPr="003C35D5">
        <w:rPr>
          <w:rFonts w:ascii="Calibri" w:hAnsi="Calibri" w:cs="Calibri"/>
          <w:color w:val="000000" w:themeColor="text1"/>
          <w:szCs w:val="24"/>
        </w:rPr>
        <w:t>, which are considerable threats to the well-being and engagement of the employees. In a situation where such demands are poorly handled, workers are prone to burnout, absenteeism, and disengagement.</w:t>
      </w:r>
    </w:p>
    <w:p w14:paraId="500747AD" w14:textId="77777777" w:rsidR="003C35D5" w:rsidRPr="003C35D5" w:rsidRDefault="003C35D5" w:rsidP="003C35D5">
      <w:pPr>
        <w:spacing w:line="480" w:lineRule="auto"/>
        <w:rPr>
          <w:rFonts w:ascii="Calibri" w:hAnsi="Calibri" w:cs="Calibri"/>
          <w:color w:val="000000" w:themeColor="text1"/>
          <w:szCs w:val="24"/>
        </w:rPr>
      </w:pPr>
    </w:p>
    <w:p w14:paraId="42558626" w14:textId="77777777" w:rsidR="003C35D5" w:rsidRPr="003C35D5" w:rsidRDefault="003C35D5" w:rsidP="003C35D5">
      <w:pPr>
        <w:spacing w:line="480" w:lineRule="auto"/>
        <w:rPr>
          <w:rFonts w:ascii="Calibri" w:hAnsi="Calibri" w:cs="Calibri"/>
          <w:color w:val="000000" w:themeColor="text1"/>
          <w:szCs w:val="24"/>
        </w:rPr>
      </w:pPr>
      <w:r w:rsidRPr="003C35D5">
        <w:rPr>
          <w:rFonts w:ascii="Calibri" w:hAnsi="Calibri" w:cs="Calibri"/>
          <w:color w:val="000000" w:themeColor="text1"/>
          <w:szCs w:val="24"/>
        </w:rPr>
        <w:t xml:space="preserve">Nevertheless, hospitality organizations that introduce well-being-based HRM practices have much higher levels of engagement. Programs like flexible working hours, mental health programs, workload, and non-discriminatory workplaces policies lead to better psychological </w:t>
      </w:r>
      <w:r w:rsidRPr="003C35D5">
        <w:rPr>
          <w:rFonts w:ascii="Calibri" w:hAnsi="Calibri" w:cs="Calibri"/>
          <w:color w:val="000000" w:themeColor="text1"/>
          <w:szCs w:val="24"/>
        </w:rPr>
        <w:lastRenderedPageBreak/>
        <w:t xml:space="preserve">and emotional health. As </w:t>
      </w:r>
      <w:proofErr w:type="spellStart"/>
      <w:r w:rsidRPr="003C35D5">
        <w:rPr>
          <w:rFonts w:ascii="Calibri" w:hAnsi="Calibri" w:cs="Calibri"/>
          <w:color w:val="000000" w:themeColor="text1"/>
          <w:szCs w:val="24"/>
        </w:rPr>
        <w:t>analyzed</w:t>
      </w:r>
      <w:proofErr w:type="spellEnd"/>
      <w:r w:rsidRPr="003C35D5">
        <w:rPr>
          <w:rFonts w:ascii="Calibri" w:hAnsi="Calibri" w:cs="Calibri"/>
          <w:color w:val="000000" w:themeColor="text1"/>
          <w:szCs w:val="24"/>
        </w:rPr>
        <w:t>, employees who feel the organization cares about their well-being are resilient, motivated, and determined to serve them to the best of their abilities.</w:t>
      </w:r>
    </w:p>
    <w:p w14:paraId="66083286" w14:textId="77777777" w:rsidR="003C35D5" w:rsidRPr="003C35D5" w:rsidRDefault="003C35D5" w:rsidP="003C35D5">
      <w:pPr>
        <w:spacing w:line="480" w:lineRule="auto"/>
        <w:rPr>
          <w:rFonts w:ascii="Calibri" w:hAnsi="Calibri" w:cs="Calibri"/>
          <w:color w:val="000000" w:themeColor="text1"/>
          <w:szCs w:val="24"/>
        </w:rPr>
      </w:pPr>
    </w:p>
    <w:p w14:paraId="63872CE6" w14:textId="77777777" w:rsidR="003C35D5" w:rsidRPr="003C35D5" w:rsidRDefault="003C35D5" w:rsidP="003C35D5">
      <w:pPr>
        <w:spacing w:line="480" w:lineRule="auto"/>
        <w:rPr>
          <w:rFonts w:ascii="Calibri" w:hAnsi="Calibri" w:cs="Calibri"/>
          <w:color w:val="000000" w:themeColor="text1"/>
          <w:szCs w:val="24"/>
        </w:rPr>
      </w:pPr>
      <w:r w:rsidRPr="003C35D5">
        <w:rPr>
          <w:rFonts w:ascii="Calibri" w:hAnsi="Calibri" w:cs="Calibri"/>
          <w:color w:val="000000" w:themeColor="text1"/>
          <w:szCs w:val="24"/>
        </w:rPr>
        <w:t xml:space="preserve">In addition, work-life balance policies have been identified to be especially effective in alleviating stress and improving engagement. Since the nature of the hospitality jobs is with non-standard working hours, flexible working arrangements ensure that employees </w:t>
      </w:r>
      <w:proofErr w:type="gramStart"/>
      <w:r w:rsidRPr="003C35D5">
        <w:rPr>
          <w:rFonts w:ascii="Calibri" w:hAnsi="Calibri" w:cs="Calibri"/>
          <w:color w:val="000000" w:themeColor="text1"/>
          <w:szCs w:val="24"/>
        </w:rPr>
        <w:t>are able to</w:t>
      </w:r>
      <w:proofErr w:type="gramEnd"/>
      <w:r w:rsidRPr="003C35D5">
        <w:rPr>
          <w:rFonts w:ascii="Calibri" w:hAnsi="Calibri" w:cs="Calibri"/>
          <w:color w:val="000000" w:themeColor="text1"/>
          <w:szCs w:val="24"/>
        </w:rPr>
        <w:t xml:space="preserve"> handle personal duties without compromising on their performance. This balance promotes long term interest and decreases turnover intentions.</w:t>
      </w:r>
    </w:p>
    <w:p w14:paraId="53D254D0" w14:textId="77777777" w:rsidR="003C35D5" w:rsidRPr="003C35D5" w:rsidRDefault="003C35D5" w:rsidP="003C35D5">
      <w:pPr>
        <w:spacing w:line="480" w:lineRule="auto"/>
        <w:rPr>
          <w:rFonts w:ascii="Calibri" w:hAnsi="Calibri" w:cs="Calibri"/>
          <w:color w:val="000000" w:themeColor="text1"/>
          <w:szCs w:val="24"/>
        </w:rPr>
      </w:pPr>
    </w:p>
    <w:p w14:paraId="470C808F" w14:textId="77777777" w:rsidR="003C35D5" w:rsidRPr="003C35D5" w:rsidRDefault="003C35D5" w:rsidP="003C35D5">
      <w:pPr>
        <w:spacing w:line="480" w:lineRule="auto"/>
        <w:rPr>
          <w:rFonts w:ascii="Calibri" w:hAnsi="Calibri" w:cs="Calibri"/>
          <w:color w:val="000000" w:themeColor="text1"/>
          <w:szCs w:val="24"/>
        </w:rPr>
      </w:pPr>
      <w:r w:rsidRPr="003C35D5">
        <w:rPr>
          <w:rFonts w:ascii="Calibri" w:hAnsi="Calibri" w:cs="Calibri"/>
          <w:color w:val="000000" w:themeColor="text1"/>
          <w:szCs w:val="24"/>
        </w:rPr>
        <w:t>4. The Effect of Employee Engagement on Performance in Organization.</w:t>
      </w:r>
    </w:p>
    <w:p w14:paraId="45ACD55A" w14:textId="77777777" w:rsidR="003C35D5" w:rsidRPr="003C35D5" w:rsidRDefault="003C35D5" w:rsidP="003C35D5">
      <w:pPr>
        <w:spacing w:line="480" w:lineRule="auto"/>
        <w:rPr>
          <w:rFonts w:ascii="Calibri" w:hAnsi="Calibri" w:cs="Calibri"/>
          <w:color w:val="000000" w:themeColor="text1"/>
          <w:szCs w:val="24"/>
        </w:rPr>
      </w:pPr>
    </w:p>
    <w:p w14:paraId="1281AAA6" w14:textId="77777777" w:rsidR="003C35D5" w:rsidRPr="003C35D5" w:rsidRDefault="003C35D5" w:rsidP="003C35D5">
      <w:pPr>
        <w:spacing w:line="480" w:lineRule="auto"/>
        <w:rPr>
          <w:rFonts w:ascii="Calibri" w:hAnsi="Calibri" w:cs="Calibri"/>
          <w:color w:val="000000" w:themeColor="text1"/>
          <w:szCs w:val="24"/>
        </w:rPr>
      </w:pPr>
      <w:r w:rsidRPr="003C35D5">
        <w:rPr>
          <w:rFonts w:ascii="Calibri" w:hAnsi="Calibri" w:cs="Calibri"/>
          <w:color w:val="000000" w:themeColor="text1"/>
          <w:szCs w:val="24"/>
        </w:rPr>
        <w:t xml:space="preserve">The results are a solid indication that employee engagement </w:t>
      </w:r>
      <w:proofErr w:type="gramStart"/>
      <w:r w:rsidRPr="003C35D5">
        <w:rPr>
          <w:rFonts w:ascii="Calibri" w:hAnsi="Calibri" w:cs="Calibri"/>
          <w:color w:val="000000" w:themeColor="text1"/>
          <w:szCs w:val="24"/>
        </w:rPr>
        <w:t>is connected with</w:t>
      </w:r>
      <w:proofErr w:type="gramEnd"/>
      <w:r w:rsidRPr="003C35D5">
        <w:rPr>
          <w:rFonts w:ascii="Calibri" w:hAnsi="Calibri" w:cs="Calibri"/>
          <w:color w:val="000000" w:themeColor="text1"/>
          <w:szCs w:val="24"/>
        </w:rPr>
        <w:t xml:space="preserve"> the crucial organizational outcomes in the hospitality sector. Involved employees always exhibit increased customer orientation, which generates better guest satisfaction and loyalty. The attitudes of the employees are positive, which result in more personalized service, quicker service recovery, and improved guest experiences.</w:t>
      </w:r>
    </w:p>
    <w:p w14:paraId="137C6AB0" w14:textId="77777777" w:rsidR="003C35D5" w:rsidRPr="003C35D5" w:rsidRDefault="003C35D5" w:rsidP="003C35D5">
      <w:pPr>
        <w:spacing w:line="480" w:lineRule="auto"/>
        <w:rPr>
          <w:rFonts w:ascii="Calibri" w:hAnsi="Calibri" w:cs="Calibri"/>
          <w:color w:val="000000" w:themeColor="text1"/>
          <w:szCs w:val="24"/>
        </w:rPr>
      </w:pPr>
    </w:p>
    <w:p w14:paraId="2715A73F" w14:textId="77777777" w:rsidR="003C35D5" w:rsidRPr="003C35D5" w:rsidRDefault="003C35D5" w:rsidP="003C35D5">
      <w:pPr>
        <w:spacing w:line="480" w:lineRule="auto"/>
        <w:rPr>
          <w:rFonts w:ascii="Calibri" w:hAnsi="Calibri" w:cs="Calibri"/>
          <w:color w:val="000000" w:themeColor="text1"/>
          <w:szCs w:val="24"/>
        </w:rPr>
      </w:pPr>
      <w:r w:rsidRPr="003C35D5">
        <w:rPr>
          <w:rFonts w:ascii="Calibri" w:hAnsi="Calibri" w:cs="Calibri"/>
          <w:color w:val="000000" w:themeColor="text1"/>
          <w:szCs w:val="24"/>
        </w:rPr>
        <w:t xml:space="preserve">Employee engagement also has a positive effect on operational efficiency. An engaged employee will be a better </w:t>
      </w:r>
      <w:proofErr w:type="gramStart"/>
      <w:r w:rsidRPr="003C35D5">
        <w:rPr>
          <w:rFonts w:ascii="Calibri" w:hAnsi="Calibri" w:cs="Calibri"/>
          <w:color w:val="000000" w:themeColor="text1"/>
          <w:szCs w:val="24"/>
        </w:rPr>
        <w:t>listener,</w:t>
      </w:r>
      <w:proofErr w:type="gramEnd"/>
      <w:r w:rsidRPr="003C35D5">
        <w:rPr>
          <w:rFonts w:ascii="Calibri" w:hAnsi="Calibri" w:cs="Calibri"/>
          <w:color w:val="000000" w:themeColor="text1"/>
          <w:szCs w:val="24"/>
        </w:rPr>
        <w:t xml:space="preserve"> team player and they will be more proactive in finding ways to make their services better and reduce failures. This helps in streamlined operations, fewer </w:t>
      </w:r>
      <w:r w:rsidRPr="003C35D5">
        <w:rPr>
          <w:rFonts w:ascii="Calibri" w:hAnsi="Calibri" w:cs="Calibri"/>
          <w:color w:val="000000" w:themeColor="text1"/>
          <w:szCs w:val="24"/>
        </w:rPr>
        <w:lastRenderedPageBreak/>
        <w:t>service breakdowns and better organization image. The analysis also reveals that employee engagement plays the mediating role between the HRM practices and organizational performance, which supports the strategic importance of the engagement-oriented HRM systems.</w:t>
      </w:r>
    </w:p>
    <w:p w14:paraId="04BDF667" w14:textId="77777777" w:rsidR="003C35D5" w:rsidRPr="003C35D5" w:rsidRDefault="003C35D5" w:rsidP="003C35D5">
      <w:pPr>
        <w:spacing w:line="480" w:lineRule="auto"/>
        <w:rPr>
          <w:rFonts w:ascii="Calibri" w:hAnsi="Calibri" w:cs="Calibri"/>
          <w:color w:val="000000" w:themeColor="text1"/>
          <w:szCs w:val="24"/>
        </w:rPr>
      </w:pPr>
    </w:p>
    <w:p w14:paraId="06A29115" w14:textId="77777777" w:rsidR="003C35D5" w:rsidRPr="003C35D5" w:rsidRDefault="003C35D5" w:rsidP="003C35D5">
      <w:pPr>
        <w:spacing w:line="480" w:lineRule="auto"/>
        <w:rPr>
          <w:rFonts w:ascii="Calibri" w:hAnsi="Calibri" w:cs="Calibri"/>
          <w:color w:val="000000" w:themeColor="text1"/>
          <w:szCs w:val="24"/>
        </w:rPr>
      </w:pPr>
      <w:r w:rsidRPr="003C35D5">
        <w:rPr>
          <w:rFonts w:ascii="Calibri" w:hAnsi="Calibri" w:cs="Calibri"/>
          <w:color w:val="000000" w:themeColor="text1"/>
          <w:szCs w:val="24"/>
        </w:rPr>
        <w:t>Furthermore, the connection between engagement and retention of employees is especially strong. The more engaged hospitality organizations have reduced voluntary turnover and cut on recruitment and training expenses. This stability helps organizations to ensure consistency in services and institutional knowledge that is crucial in long-term success in the competitive hospitality markets.</w:t>
      </w:r>
    </w:p>
    <w:p w14:paraId="25A486EE" w14:textId="77777777" w:rsidR="003C35D5" w:rsidRPr="003C35D5" w:rsidRDefault="003C35D5" w:rsidP="003C35D5">
      <w:pPr>
        <w:spacing w:line="480" w:lineRule="auto"/>
        <w:rPr>
          <w:rFonts w:ascii="Calibri" w:hAnsi="Calibri" w:cs="Calibri"/>
          <w:color w:val="000000" w:themeColor="text1"/>
          <w:szCs w:val="24"/>
        </w:rPr>
      </w:pPr>
    </w:p>
    <w:p w14:paraId="33D92A0F" w14:textId="77777777" w:rsidR="003C35D5" w:rsidRPr="003C35D5" w:rsidRDefault="003C35D5" w:rsidP="003C35D5">
      <w:pPr>
        <w:spacing w:line="480" w:lineRule="auto"/>
        <w:rPr>
          <w:rFonts w:ascii="Calibri" w:hAnsi="Calibri" w:cs="Calibri"/>
          <w:color w:val="000000" w:themeColor="text1"/>
          <w:szCs w:val="24"/>
        </w:rPr>
      </w:pPr>
      <w:r w:rsidRPr="003C35D5">
        <w:rPr>
          <w:rFonts w:ascii="Calibri" w:hAnsi="Calibri" w:cs="Calibri"/>
          <w:color w:val="000000" w:themeColor="text1"/>
          <w:szCs w:val="24"/>
        </w:rPr>
        <w:t>5. HRM Strategies to Goals in the Hospitality Industry.</w:t>
      </w:r>
    </w:p>
    <w:p w14:paraId="2D2F53DF" w14:textId="77777777" w:rsidR="003C35D5" w:rsidRPr="003C35D5" w:rsidRDefault="003C35D5" w:rsidP="003C35D5">
      <w:pPr>
        <w:spacing w:line="480" w:lineRule="auto"/>
        <w:rPr>
          <w:rFonts w:ascii="Calibri" w:hAnsi="Calibri" w:cs="Calibri"/>
          <w:color w:val="000000" w:themeColor="text1"/>
          <w:szCs w:val="24"/>
        </w:rPr>
      </w:pPr>
    </w:p>
    <w:p w14:paraId="0BB1645D" w14:textId="77777777" w:rsidR="003C35D5" w:rsidRPr="003C35D5" w:rsidRDefault="003C35D5" w:rsidP="003C35D5">
      <w:pPr>
        <w:spacing w:line="480" w:lineRule="auto"/>
        <w:rPr>
          <w:rFonts w:ascii="Calibri" w:hAnsi="Calibri" w:cs="Calibri"/>
          <w:color w:val="000000" w:themeColor="text1"/>
          <w:szCs w:val="24"/>
        </w:rPr>
      </w:pPr>
      <w:r w:rsidRPr="003C35D5">
        <w:rPr>
          <w:rFonts w:ascii="Calibri" w:hAnsi="Calibri" w:cs="Calibri"/>
          <w:color w:val="000000" w:themeColor="text1"/>
          <w:szCs w:val="24"/>
        </w:rPr>
        <w:t>As the analysis has shown, the HRM strategies need to be carefully integrated with the main goals of the hospitality industry service excellence, the satisfaction of the guests and the efficiency of the operations. The HRM practices that enhance these objectives are engagement-oriented servicing practices that enable a motivated workforce that is service oriented. Companies that combine HRM strategy with business goals are in a better position to attain sustainable competitive advantage.</w:t>
      </w:r>
    </w:p>
    <w:p w14:paraId="2F63E8CD" w14:textId="77777777" w:rsidR="003C35D5" w:rsidRPr="003C35D5" w:rsidRDefault="003C35D5" w:rsidP="003C35D5">
      <w:pPr>
        <w:spacing w:line="480" w:lineRule="auto"/>
        <w:rPr>
          <w:rFonts w:ascii="Calibri" w:hAnsi="Calibri" w:cs="Calibri"/>
          <w:color w:val="000000" w:themeColor="text1"/>
          <w:szCs w:val="24"/>
        </w:rPr>
      </w:pPr>
    </w:p>
    <w:p w14:paraId="70BA7A48" w14:textId="26E6CFF9" w:rsidR="006664D5" w:rsidRDefault="003C35D5" w:rsidP="003C35D5">
      <w:pPr>
        <w:spacing w:line="480" w:lineRule="auto"/>
        <w:rPr>
          <w:rFonts w:ascii="Calibri" w:hAnsi="Calibri" w:cs="Calibri"/>
          <w:color w:val="000000" w:themeColor="text1"/>
          <w:szCs w:val="24"/>
        </w:rPr>
      </w:pPr>
      <w:r w:rsidRPr="003C35D5">
        <w:rPr>
          <w:rFonts w:ascii="Calibri" w:hAnsi="Calibri" w:cs="Calibri"/>
          <w:color w:val="000000" w:themeColor="text1"/>
          <w:szCs w:val="24"/>
        </w:rPr>
        <w:lastRenderedPageBreak/>
        <w:t>These results highlight the need to consider employee engagement as a long-term strategic investment, and not a temporary HR project. Engagement entrenched in organizational culture and leadership philosophy of hospitality organizations leads to better performance results than the cost-based or compliance-based HR practices.</w:t>
      </w:r>
    </w:p>
    <w:p w14:paraId="04F5255A" w14:textId="77777777" w:rsidR="00952784" w:rsidRPr="00952784" w:rsidRDefault="00952784" w:rsidP="00952784">
      <w:pPr>
        <w:spacing w:line="480" w:lineRule="auto"/>
        <w:rPr>
          <w:rFonts w:ascii="Calibri" w:hAnsi="Calibri" w:cs="Calibri"/>
          <w:b/>
          <w:bCs/>
          <w:color w:val="000000" w:themeColor="text1"/>
          <w:szCs w:val="24"/>
        </w:rPr>
      </w:pPr>
      <w:r w:rsidRPr="00952784">
        <w:rPr>
          <w:rFonts w:ascii="Calibri" w:hAnsi="Calibri" w:cs="Calibri"/>
          <w:b/>
          <w:bCs/>
          <w:color w:val="000000" w:themeColor="text1"/>
          <w:szCs w:val="24"/>
        </w:rPr>
        <w:t xml:space="preserve">Case Studies: Employee Engagements practices in top hospitality organisations. </w:t>
      </w:r>
    </w:p>
    <w:p w14:paraId="4BA692A2" w14:textId="77777777" w:rsidR="00952784" w:rsidRPr="00952784" w:rsidRDefault="00952784" w:rsidP="00952784">
      <w:pPr>
        <w:spacing w:line="480" w:lineRule="auto"/>
        <w:rPr>
          <w:rFonts w:ascii="Calibri" w:hAnsi="Calibri" w:cs="Calibri"/>
          <w:color w:val="000000" w:themeColor="text1"/>
          <w:szCs w:val="24"/>
        </w:rPr>
      </w:pPr>
      <w:r w:rsidRPr="00952784">
        <w:rPr>
          <w:rFonts w:ascii="Calibri" w:hAnsi="Calibri" w:cs="Calibri"/>
          <w:color w:val="000000" w:themeColor="text1"/>
          <w:szCs w:val="24"/>
        </w:rPr>
        <w:t>Four Season Hotels and Resorts.</w:t>
      </w:r>
    </w:p>
    <w:p w14:paraId="50543FBF" w14:textId="77777777" w:rsidR="00952784" w:rsidRPr="00952784" w:rsidRDefault="00952784" w:rsidP="00952784">
      <w:pPr>
        <w:spacing w:line="480" w:lineRule="auto"/>
        <w:rPr>
          <w:rFonts w:ascii="Calibri" w:hAnsi="Calibri" w:cs="Calibri"/>
          <w:color w:val="000000" w:themeColor="text1"/>
          <w:szCs w:val="24"/>
        </w:rPr>
      </w:pPr>
      <w:r w:rsidRPr="00952784">
        <w:rPr>
          <w:rFonts w:ascii="Calibri" w:hAnsi="Calibri" w:cs="Calibri"/>
          <w:color w:val="000000" w:themeColor="text1"/>
          <w:szCs w:val="24"/>
        </w:rPr>
        <w:t>Four Seasons Hotels and Resorts have a well-established organizational culture that is people focused and highly motivated to engage its employees as a key pillar to service excellence. The HRM philosophy of the company is anchored upon the idea that it is only the engaged and motivated employees that can provide the guests with exceptional experiences. The choice to empower the employees and engage in constant training can be regarded as one of the most unique characteristics of Four Seasons HRM strategy. There is also a large-scale onboarding and continuous service training of employees, the training is not technical; it is also emotional intelligence, communication, and personalized interaction with the guest.</w:t>
      </w:r>
    </w:p>
    <w:p w14:paraId="4B1E55A2" w14:textId="77777777" w:rsidR="00952784" w:rsidRPr="00952784" w:rsidRDefault="00952784" w:rsidP="00952784">
      <w:pPr>
        <w:spacing w:line="480" w:lineRule="auto"/>
        <w:rPr>
          <w:rFonts w:ascii="Calibri" w:hAnsi="Calibri" w:cs="Calibri"/>
          <w:color w:val="000000" w:themeColor="text1"/>
          <w:szCs w:val="24"/>
        </w:rPr>
      </w:pPr>
      <w:r w:rsidRPr="00952784">
        <w:rPr>
          <w:rFonts w:ascii="Calibri" w:hAnsi="Calibri" w:cs="Calibri"/>
          <w:color w:val="000000" w:themeColor="text1"/>
          <w:szCs w:val="24"/>
        </w:rPr>
        <w:t xml:space="preserve">The performance management system of the organization focuses on developmental feedback and not on strict evaluation. Employees are also advised to re-examine their service </w:t>
      </w:r>
      <w:proofErr w:type="spellStart"/>
      <w:r w:rsidRPr="00952784">
        <w:rPr>
          <w:rFonts w:ascii="Calibri" w:hAnsi="Calibri" w:cs="Calibri"/>
          <w:color w:val="000000" w:themeColor="text1"/>
          <w:szCs w:val="24"/>
        </w:rPr>
        <w:t>behaviors</w:t>
      </w:r>
      <w:proofErr w:type="spellEnd"/>
      <w:r w:rsidRPr="00952784">
        <w:rPr>
          <w:rFonts w:ascii="Calibri" w:hAnsi="Calibri" w:cs="Calibri"/>
          <w:color w:val="000000" w:themeColor="text1"/>
          <w:szCs w:val="24"/>
        </w:rPr>
        <w:t xml:space="preserve"> and engage in performance dialogues, which will help them feel that they own and are accountable. This strategy is consistent with engagement theories that propose that intrinsic motivation is promoted by autonomy and meaningful feedback. Moreover, Four Seasons encourages career mobility within its organization, providing its employees with a chance to </w:t>
      </w:r>
      <w:r w:rsidRPr="00952784">
        <w:rPr>
          <w:rFonts w:ascii="Calibri" w:hAnsi="Calibri" w:cs="Calibri"/>
          <w:color w:val="000000" w:themeColor="text1"/>
          <w:szCs w:val="24"/>
        </w:rPr>
        <w:lastRenderedPageBreak/>
        <w:t>advance both between the properties and within the job hierarchy, thus boosting long-term commitment and decreasing turnover.</w:t>
      </w:r>
    </w:p>
    <w:p w14:paraId="65C7FA1F" w14:textId="77777777" w:rsidR="00952784" w:rsidRPr="00952784" w:rsidRDefault="00952784" w:rsidP="00952784">
      <w:pPr>
        <w:spacing w:line="480" w:lineRule="auto"/>
        <w:rPr>
          <w:rFonts w:ascii="Calibri" w:hAnsi="Calibri" w:cs="Calibri"/>
          <w:color w:val="000000" w:themeColor="text1"/>
          <w:szCs w:val="24"/>
        </w:rPr>
      </w:pPr>
      <w:r w:rsidRPr="00952784">
        <w:rPr>
          <w:rFonts w:ascii="Calibri" w:hAnsi="Calibri" w:cs="Calibri"/>
          <w:color w:val="000000" w:themeColor="text1"/>
          <w:szCs w:val="24"/>
        </w:rPr>
        <w:t xml:space="preserve">The Four Seasons Leadership is critical in strengthening engagement. The managers are educated to implement supportive and transformational leadership styles, where the well-being of employees and recognition are valued. Consistent employee feedback systems including open communication forums and engagement surveys allow the management to act on employee issues. Therefore, employee satisfaction and loyalty are very high in Four Seasons, which directly leads to the high service quality and guest satisfaction. The case demonstrates the alignment of HRM practices, leadership </w:t>
      </w:r>
      <w:proofErr w:type="spellStart"/>
      <w:r w:rsidRPr="00952784">
        <w:rPr>
          <w:rFonts w:ascii="Calibri" w:hAnsi="Calibri" w:cs="Calibri"/>
          <w:color w:val="000000" w:themeColor="text1"/>
          <w:szCs w:val="24"/>
        </w:rPr>
        <w:t>behavior</w:t>
      </w:r>
      <w:proofErr w:type="spellEnd"/>
      <w:r w:rsidRPr="00952784">
        <w:rPr>
          <w:rFonts w:ascii="Calibri" w:hAnsi="Calibri" w:cs="Calibri"/>
          <w:color w:val="000000" w:themeColor="text1"/>
          <w:szCs w:val="24"/>
        </w:rPr>
        <w:t xml:space="preserve">, and organizational values </w:t>
      </w:r>
      <w:proofErr w:type="gramStart"/>
      <w:r w:rsidRPr="00952784">
        <w:rPr>
          <w:rFonts w:ascii="Calibri" w:hAnsi="Calibri" w:cs="Calibri"/>
          <w:color w:val="000000" w:themeColor="text1"/>
          <w:szCs w:val="24"/>
        </w:rPr>
        <w:t>as a means to</w:t>
      </w:r>
      <w:proofErr w:type="gramEnd"/>
      <w:r w:rsidRPr="00952784">
        <w:rPr>
          <w:rFonts w:ascii="Calibri" w:hAnsi="Calibri" w:cs="Calibri"/>
          <w:color w:val="000000" w:themeColor="text1"/>
          <w:szCs w:val="24"/>
        </w:rPr>
        <w:t xml:space="preserve"> build sustainable culture of engagement in the hospitality industry.</w:t>
      </w:r>
    </w:p>
    <w:p w14:paraId="43D36209" w14:textId="77777777" w:rsidR="00952784" w:rsidRPr="00952784" w:rsidRDefault="00952784" w:rsidP="00952784">
      <w:pPr>
        <w:spacing w:line="480" w:lineRule="auto"/>
        <w:rPr>
          <w:rFonts w:ascii="Calibri" w:hAnsi="Calibri" w:cs="Calibri"/>
          <w:color w:val="000000" w:themeColor="text1"/>
          <w:szCs w:val="24"/>
        </w:rPr>
      </w:pPr>
    </w:p>
    <w:p w14:paraId="1F64C6E4" w14:textId="77777777" w:rsidR="00952784" w:rsidRPr="00952784" w:rsidRDefault="00952784" w:rsidP="00952784">
      <w:pPr>
        <w:spacing w:line="480" w:lineRule="auto"/>
        <w:rPr>
          <w:rFonts w:ascii="Calibri" w:hAnsi="Calibri" w:cs="Calibri"/>
          <w:color w:val="000000" w:themeColor="text1"/>
          <w:szCs w:val="24"/>
        </w:rPr>
      </w:pPr>
      <w:r w:rsidRPr="00952784">
        <w:rPr>
          <w:rFonts w:ascii="Calibri" w:hAnsi="Calibri" w:cs="Calibri"/>
          <w:color w:val="000000" w:themeColor="text1"/>
          <w:szCs w:val="24"/>
        </w:rPr>
        <w:t>Ritz-Carlton Hotel Company</w:t>
      </w:r>
    </w:p>
    <w:p w14:paraId="782EE793" w14:textId="77777777" w:rsidR="00952784" w:rsidRPr="00952784" w:rsidRDefault="00952784" w:rsidP="00952784">
      <w:pPr>
        <w:spacing w:line="480" w:lineRule="auto"/>
        <w:rPr>
          <w:rFonts w:ascii="Calibri" w:hAnsi="Calibri" w:cs="Calibri"/>
          <w:color w:val="000000" w:themeColor="text1"/>
          <w:szCs w:val="24"/>
        </w:rPr>
      </w:pPr>
      <w:r w:rsidRPr="00952784">
        <w:rPr>
          <w:rFonts w:ascii="Calibri" w:hAnsi="Calibri" w:cs="Calibri"/>
          <w:color w:val="000000" w:themeColor="text1"/>
          <w:szCs w:val="24"/>
        </w:rPr>
        <w:t xml:space="preserve">Ritz-Carlton Hotel Company has a worldwide reputation of a powerful culture of service that is well anchored in its HRM and employee engagement approaches. The philosophy of Ritz-Carlton is that engaged employees are the major source of outstanding service provision. The HRM system of the organization focuses on the strict selection procedures </w:t>
      </w:r>
      <w:proofErr w:type="gramStart"/>
      <w:r w:rsidRPr="00952784">
        <w:rPr>
          <w:rFonts w:ascii="Calibri" w:hAnsi="Calibri" w:cs="Calibri"/>
          <w:color w:val="000000" w:themeColor="text1"/>
          <w:szCs w:val="24"/>
        </w:rPr>
        <w:t>in order to</w:t>
      </w:r>
      <w:proofErr w:type="gramEnd"/>
      <w:r w:rsidRPr="00952784">
        <w:rPr>
          <w:rFonts w:ascii="Calibri" w:hAnsi="Calibri" w:cs="Calibri"/>
          <w:color w:val="000000" w:themeColor="text1"/>
          <w:szCs w:val="24"/>
        </w:rPr>
        <w:t xml:space="preserve"> guarantee the cultural fit and then on the multidimensional training programs that should introduce the principles of service excellence.</w:t>
      </w:r>
    </w:p>
    <w:p w14:paraId="3A76EEEF" w14:textId="77777777" w:rsidR="00952784" w:rsidRPr="00952784" w:rsidRDefault="00952784" w:rsidP="00952784">
      <w:pPr>
        <w:spacing w:line="480" w:lineRule="auto"/>
        <w:rPr>
          <w:rFonts w:ascii="Calibri" w:hAnsi="Calibri" w:cs="Calibri"/>
          <w:color w:val="000000" w:themeColor="text1"/>
          <w:szCs w:val="24"/>
        </w:rPr>
      </w:pPr>
      <w:r w:rsidRPr="00952784">
        <w:rPr>
          <w:rFonts w:ascii="Calibri" w:hAnsi="Calibri" w:cs="Calibri"/>
          <w:color w:val="000000" w:themeColor="text1"/>
          <w:szCs w:val="24"/>
        </w:rPr>
        <w:t xml:space="preserve">A unique engagement practice at Ritz-Carlton is the empowerment policy that allows frontline employees to make decisions that address the concerns of guests to some degree. This trust also improves the sense of responsibility and the psychological ownership by the employees, </w:t>
      </w:r>
      <w:r w:rsidRPr="00952784">
        <w:rPr>
          <w:rFonts w:ascii="Calibri" w:hAnsi="Calibri" w:cs="Calibri"/>
          <w:color w:val="000000" w:themeColor="text1"/>
          <w:szCs w:val="24"/>
        </w:rPr>
        <w:lastRenderedPageBreak/>
        <w:t xml:space="preserve">which are important elements of engagement. The employees are empowered to work with the feeling that they are being </w:t>
      </w:r>
      <w:proofErr w:type="gramStart"/>
      <w:r w:rsidRPr="00952784">
        <w:rPr>
          <w:rFonts w:ascii="Calibri" w:hAnsi="Calibri" w:cs="Calibri"/>
          <w:color w:val="000000" w:themeColor="text1"/>
          <w:szCs w:val="24"/>
        </w:rPr>
        <w:t>valued</w:t>
      </w:r>
      <w:proofErr w:type="gramEnd"/>
      <w:r w:rsidRPr="00952784">
        <w:rPr>
          <w:rFonts w:ascii="Calibri" w:hAnsi="Calibri" w:cs="Calibri"/>
          <w:color w:val="000000" w:themeColor="text1"/>
          <w:szCs w:val="24"/>
        </w:rPr>
        <w:t xml:space="preserve"> and they are sure in their roles, and this affects their commitment and service </w:t>
      </w:r>
      <w:proofErr w:type="spellStart"/>
      <w:r w:rsidRPr="00952784">
        <w:rPr>
          <w:rFonts w:ascii="Calibri" w:hAnsi="Calibri" w:cs="Calibri"/>
          <w:color w:val="000000" w:themeColor="text1"/>
          <w:szCs w:val="24"/>
        </w:rPr>
        <w:t>behaviors</w:t>
      </w:r>
      <w:proofErr w:type="spellEnd"/>
      <w:r w:rsidRPr="00952784">
        <w:rPr>
          <w:rFonts w:ascii="Calibri" w:hAnsi="Calibri" w:cs="Calibri"/>
          <w:color w:val="000000" w:themeColor="text1"/>
          <w:szCs w:val="24"/>
        </w:rPr>
        <w:t>.</w:t>
      </w:r>
    </w:p>
    <w:p w14:paraId="7FB91C77" w14:textId="77777777" w:rsidR="00952784" w:rsidRPr="00952784" w:rsidRDefault="00952784" w:rsidP="00952784">
      <w:pPr>
        <w:spacing w:line="480" w:lineRule="auto"/>
        <w:rPr>
          <w:rFonts w:ascii="Calibri" w:hAnsi="Calibri" w:cs="Calibri"/>
          <w:color w:val="000000" w:themeColor="text1"/>
          <w:szCs w:val="24"/>
        </w:rPr>
      </w:pPr>
      <w:r w:rsidRPr="00952784">
        <w:rPr>
          <w:rFonts w:ascii="Calibri" w:hAnsi="Calibri" w:cs="Calibri"/>
          <w:color w:val="000000" w:themeColor="text1"/>
          <w:szCs w:val="24"/>
        </w:rPr>
        <w:t>Recognition and rewards are also a major concern to Ritz-Carlton. An organization has daily team briefings (also referred to as line-ups) that reinforce the organizational values and praise the efforts of employees. Such practices help employees to develop an interest in purpose and belonging. Ritz-Carlton performance management systems are well integrated with service quality standards such that the work of employees is directly connected to organizational goals.</w:t>
      </w:r>
    </w:p>
    <w:p w14:paraId="7B85F2AB" w14:textId="77777777" w:rsidR="00952784" w:rsidRPr="00952784" w:rsidRDefault="00952784" w:rsidP="00952784">
      <w:pPr>
        <w:spacing w:line="480" w:lineRule="auto"/>
        <w:rPr>
          <w:rFonts w:ascii="Calibri" w:hAnsi="Calibri" w:cs="Calibri"/>
          <w:color w:val="000000" w:themeColor="text1"/>
          <w:szCs w:val="24"/>
        </w:rPr>
      </w:pPr>
      <w:r w:rsidRPr="00952784">
        <w:rPr>
          <w:rFonts w:ascii="Calibri" w:hAnsi="Calibri" w:cs="Calibri"/>
          <w:color w:val="000000" w:themeColor="text1"/>
          <w:szCs w:val="24"/>
        </w:rPr>
        <w:t xml:space="preserve">Another pillar of HRM strategy of Ritz-Carlton is leadership development. Managers are expected to perform the role of role models, which strengthens the engagement with coaching, support, and ethical leadership. Employee welfare is also a priority to the organization, which is facilitated through work-life initiatives and healthy workplace relations. Consequently, Ritz-Carlton has been </w:t>
      </w:r>
      <w:proofErr w:type="gramStart"/>
      <w:r w:rsidRPr="00952784">
        <w:rPr>
          <w:rFonts w:ascii="Calibri" w:hAnsi="Calibri" w:cs="Calibri"/>
          <w:color w:val="000000" w:themeColor="text1"/>
          <w:szCs w:val="24"/>
        </w:rPr>
        <w:t>in a position</w:t>
      </w:r>
      <w:proofErr w:type="gramEnd"/>
      <w:r w:rsidRPr="00952784">
        <w:rPr>
          <w:rFonts w:ascii="Calibri" w:hAnsi="Calibri" w:cs="Calibri"/>
          <w:color w:val="000000" w:themeColor="text1"/>
          <w:szCs w:val="24"/>
        </w:rPr>
        <w:t xml:space="preserve"> to record good employee engagement scores, which find expression in the high guest satisfaction scores and brand loyalty. The case underscores the role of the HRM practices that are empowerment-based to maintain engagement in high-pressure hospitality settings.</w:t>
      </w:r>
    </w:p>
    <w:p w14:paraId="5CBB8A9F" w14:textId="77777777" w:rsidR="00952784" w:rsidRPr="00952784" w:rsidRDefault="00952784" w:rsidP="00952784">
      <w:pPr>
        <w:spacing w:line="480" w:lineRule="auto"/>
        <w:rPr>
          <w:rFonts w:ascii="Calibri" w:hAnsi="Calibri" w:cs="Calibri"/>
          <w:color w:val="000000" w:themeColor="text1"/>
          <w:szCs w:val="24"/>
        </w:rPr>
      </w:pPr>
    </w:p>
    <w:p w14:paraId="21C1E362" w14:textId="77777777" w:rsidR="00952784" w:rsidRPr="00952784" w:rsidRDefault="00952784" w:rsidP="00952784">
      <w:pPr>
        <w:spacing w:line="480" w:lineRule="auto"/>
        <w:rPr>
          <w:rFonts w:ascii="Calibri" w:hAnsi="Calibri" w:cs="Calibri"/>
          <w:color w:val="000000" w:themeColor="text1"/>
          <w:szCs w:val="24"/>
        </w:rPr>
      </w:pPr>
      <w:r w:rsidRPr="00952784">
        <w:rPr>
          <w:rFonts w:ascii="Calibri" w:hAnsi="Calibri" w:cs="Calibri"/>
          <w:color w:val="000000" w:themeColor="text1"/>
          <w:szCs w:val="24"/>
        </w:rPr>
        <w:t>Marriott International</w:t>
      </w:r>
    </w:p>
    <w:p w14:paraId="263CF67A" w14:textId="77777777" w:rsidR="00952784" w:rsidRPr="00952784" w:rsidRDefault="00952784" w:rsidP="00952784">
      <w:pPr>
        <w:spacing w:line="480" w:lineRule="auto"/>
        <w:rPr>
          <w:rFonts w:ascii="Calibri" w:hAnsi="Calibri" w:cs="Calibri"/>
          <w:color w:val="000000" w:themeColor="text1"/>
          <w:szCs w:val="24"/>
        </w:rPr>
      </w:pPr>
      <w:r w:rsidRPr="00952784">
        <w:rPr>
          <w:rFonts w:ascii="Calibri" w:hAnsi="Calibri" w:cs="Calibri"/>
          <w:color w:val="000000" w:themeColor="text1"/>
          <w:szCs w:val="24"/>
        </w:rPr>
        <w:t xml:space="preserve">The example of Marriott International can be viewed as one of the most extensive instances of strategic HRM integration in the hospitality sector. The long-held company philosophy of associates first supports the values at the company that the engagement of the employees is </w:t>
      </w:r>
      <w:r w:rsidRPr="00952784">
        <w:rPr>
          <w:rFonts w:ascii="Calibri" w:hAnsi="Calibri" w:cs="Calibri"/>
          <w:color w:val="000000" w:themeColor="text1"/>
          <w:szCs w:val="24"/>
        </w:rPr>
        <w:lastRenderedPageBreak/>
        <w:t>key to the operational excellence and guest satisfaction. The HRM practices at Marriot are aimed at assisting the engagement of a multicultural and multinational workforce.</w:t>
      </w:r>
    </w:p>
    <w:p w14:paraId="0BC871ED" w14:textId="77777777" w:rsidR="00952784" w:rsidRPr="00952784" w:rsidRDefault="00952784" w:rsidP="00952784">
      <w:pPr>
        <w:spacing w:line="480" w:lineRule="auto"/>
        <w:rPr>
          <w:rFonts w:ascii="Calibri" w:hAnsi="Calibri" w:cs="Calibri"/>
          <w:color w:val="000000" w:themeColor="text1"/>
          <w:szCs w:val="24"/>
        </w:rPr>
      </w:pPr>
      <w:r w:rsidRPr="00952784">
        <w:rPr>
          <w:rFonts w:ascii="Calibri" w:hAnsi="Calibri" w:cs="Calibri"/>
          <w:color w:val="000000" w:themeColor="text1"/>
          <w:szCs w:val="24"/>
        </w:rPr>
        <w:t>The engagement strategy of Marriott is built on training and development. The organization provides systematic learning programs, leadership development programs, and online learning platforms that advance ongoing skills growth. Not only do these initiatives enhance competence in the employees, but they also indicate an investment in the career of employees in the long run. The career development model in Marriott facilitates internal mobility among the brands and locations, which is a boost in retention and engagement.</w:t>
      </w:r>
    </w:p>
    <w:p w14:paraId="23C74F24" w14:textId="77777777" w:rsidR="00952784" w:rsidRPr="00952784" w:rsidRDefault="00952784" w:rsidP="00952784">
      <w:pPr>
        <w:spacing w:line="480" w:lineRule="auto"/>
        <w:rPr>
          <w:rFonts w:ascii="Calibri" w:hAnsi="Calibri" w:cs="Calibri"/>
          <w:color w:val="000000" w:themeColor="text1"/>
          <w:szCs w:val="24"/>
        </w:rPr>
      </w:pPr>
      <w:r w:rsidRPr="00952784">
        <w:rPr>
          <w:rFonts w:ascii="Calibri" w:hAnsi="Calibri" w:cs="Calibri"/>
          <w:color w:val="000000" w:themeColor="text1"/>
          <w:szCs w:val="24"/>
        </w:rPr>
        <w:t>Marriott performance management is typified by clear goal setting, frequently used feedback, and employee recognition schemes that both emphasize individual and group performance. Workers are provided with incentives to introduce service enhancement ideas and participation and innovation are promoted. Such participative style enhances the emotional connection of employees to an organization.</w:t>
      </w:r>
    </w:p>
    <w:p w14:paraId="3033DAD7" w14:textId="77777777" w:rsidR="00952784" w:rsidRPr="00952784" w:rsidRDefault="00952784" w:rsidP="00952784">
      <w:pPr>
        <w:spacing w:line="480" w:lineRule="auto"/>
        <w:rPr>
          <w:rFonts w:ascii="Calibri" w:hAnsi="Calibri" w:cs="Calibri"/>
          <w:color w:val="000000" w:themeColor="text1"/>
          <w:szCs w:val="24"/>
        </w:rPr>
      </w:pPr>
      <w:r w:rsidRPr="00952784">
        <w:rPr>
          <w:rFonts w:ascii="Calibri" w:hAnsi="Calibri" w:cs="Calibri"/>
          <w:color w:val="000000" w:themeColor="text1"/>
          <w:szCs w:val="24"/>
        </w:rPr>
        <w:t>The welfare of the employees is also the key theme of the HRM strategy at Marriott. The firm has engaged in the wellness programs, diversity and inclusion policies and flexible working arrangements to accommodate the varying needs of its staff. These programs assist in alleviating burnout as well as fostering psychological safety which is instrumental in maintaining engagement in challenging hospitality positions.</w:t>
      </w:r>
    </w:p>
    <w:p w14:paraId="505F3DE0" w14:textId="77777777" w:rsidR="00952784" w:rsidRPr="00952784" w:rsidRDefault="00952784" w:rsidP="00952784">
      <w:pPr>
        <w:spacing w:line="480" w:lineRule="auto"/>
        <w:rPr>
          <w:rFonts w:ascii="Calibri" w:hAnsi="Calibri" w:cs="Calibri"/>
          <w:color w:val="000000" w:themeColor="text1"/>
          <w:szCs w:val="24"/>
        </w:rPr>
      </w:pPr>
      <w:r w:rsidRPr="00952784">
        <w:rPr>
          <w:rFonts w:ascii="Calibri" w:hAnsi="Calibri" w:cs="Calibri"/>
          <w:color w:val="000000" w:themeColor="text1"/>
          <w:szCs w:val="24"/>
        </w:rPr>
        <w:t xml:space="preserve">A lot of focus is on leadership </w:t>
      </w:r>
      <w:proofErr w:type="gramStart"/>
      <w:r w:rsidRPr="00952784">
        <w:rPr>
          <w:rFonts w:ascii="Calibri" w:hAnsi="Calibri" w:cs="Calibri"/>
          <w:color w:val="000000" w:themeColor="text1"/>
          <w:szCs w:val="24"/>
        </w:rPr>
        <w:t>development</w:t>
      </w:r>
      <w:proofErr w:type="gramEnd"/>
      <w:r w:rsidRPr="00952784">
        <w:rPr>
          <w:rFonts w:ascii="Calibri" w:hAnsi="Calibri" w:cs="Calibri"/>
          <w:color w:val="000000" w:themeColor="text1"/>
          <w:szCs w:val="24"/>
        </w:rPr>
        <w:t xml:space="preserve"> and the managers are trained in inclusive and supportive leadership styles. The leaders of Marriott are supposed to be champions of engagement, by establishing good working conditions and being proactive in handling the </w:t>
      </w:r>
      <w:r w:rsidRPr="00952784">
        <w:rPr>
          <w:rFonts w:ascii="Calibri" w:hAnsi="Calibri" w:cs="Calibri"/>
          <w:color w:val="000000" w:themeColor="text1"/>
          <w:szCs w:val="24"/>
        </w:rPr>
        <w:lastRenderedPageBreak/>
        <w:t>concerns of the employees. These HRM strategies are successful as shown in the high employer brand, high engagement scores, and uniform service delivery across the Marriott portfolio in the global market. The present case illustrates how large-scale hospitality organizations can sustain engagement by using unified and values-based systems of HRM.</w:t>
      </w:r>
    </w:p>
    <w:p w14:paraId="70D5970F" w14:textId="77777777" w:rsidR="00952784" w:rsidRPr="00952784" w:rsidRDefault="00952784" w:rsidP="00952784">
      <w:pPr>
        <w:spacing w:line="480" w:lineRule="auto"/>
        <w:rPr>
          <w:rFonts w:ascii="Calibri" w:hAnsi="Calibri" w:cs="Calibri"/>
          <w:color w:val="000000" w:themeColor="text1"/>
          <w:szCs w:val="24"/>
        </w:rPr>
      </w:pPr>
    </w:p>
    <w:p w14:paraId="4D110EBD" w14:textId="77777777" w:rsidR="00952784" w:rsidRPr="00952784" w:rsidRDefault="00952784" w:rsidP="00952784">
      <w:pPr>
        <w:spacing w:line="480" w:lineRule="auto"/>
        <w:rPr>
          <w:rFonts w:ascii="Calibri" w:hAnsi="Calibri" w:cs="Calibri"/>
          <w:color w:val="000000" w:themeColor="text1"/>
          <w:szCs w:val="24"/>
        </w:rPr>
      </w:pPr>
      <w:r w:rsidRPr="00952784">
        <w:rPr>
          <w:rFonts w:ascii="Calibri" w:hAnsi="Calibri" w:cs="Calibri"/>
          <w:color w:val="000000" w:themeColor="text1"/>
          <w:szCs w:val="24"/>
        </w:rPr>
        <w:t>Comparative Lessons through the Case Studies.</w:t>
      </w:r>
    </w:p>
    <w:p w14:paraId="7EA5082D" w14:textId="226F3EE8" w:rsidR="00952784" w:rsidRPr="00952784" w:rsidRDefault="00952784" w:rsidP="00952784">
      <w:pPr>
        <w:spacing w:line="480" w:lineRule="auto"/>
        <w:rPr>
          <w:rFonts w:ascii="Calibri" w:hAnsi="Calibri" w:cs="Calibri"/>
          <w:color w:val="000000" w:themeColor="text1"/>
          <w:szCs w:val="24"/>
        </w:rPr>
      </w:pPr>
      <w:r w:rsidRPr="00952784">
        <w:rPr>
          <w:rFonts w:ascii="Calibri" w:hAnsi="Calibri" w:cs="Calibri"/>
          <w:color w:val="000000" w:themeColor="text1"/>
          <w:szCs w:val="24"/>
        </w:rPr>
        <w:t>In the three case studies, there are a few themes that come out. People-focused HRM practices, supportive leadership, and employee empowerment are the principles on which all organizations base their engagement. Training, recognition and career development always seem to emerge as major motivating and retaining factors to employees. Furthermore, the congruence between HRM strategies and the organizational values and service goals helps such hospitality leaders to convert employee engagement into excellent guest experiences and long-term competitive advantage.</w:t>
      </w:r>
    </w:p>
    <w:p w14:paraId="3CF20608" w14:textId="77777777" w:rsidR="006664D5" w:rsidRPr="00CC2A71" w:rsidRDefault="006664D5" w:rsidP="006664D5">
      <w:pPr>
        <w:pStyle w:val="Heading1"/>
        <w:spacing w:line="480" w:lineRule="auto"/>
        <w:rPr>
          <w:rFonts w:ascii="Calibri" w:hAnsi="Calibri" w:cs="Calibri"/>
          <w:b/>
          <w:bCs/>
          <w:sz w:val="24"/>
          <w:szCs w:val="24"/>
        </w:rPr>
      </w:pPr>
      <w:bookmarkStart w:id="5" w:name="_Toc220957855"/>
      <w:r w:rsidRPr="00CC2A71">
        <w:rPr>
          <w:rFonts w:ascii="Calibri" w:hAnsi="Calibri" w:cs="Calibri"/>
          <w:b/>
          <w:bCs/>
          <w:sz w:val="24"/>
          <w:szCs w:val="24"/>
        </w:rPr>
        <w:lastRenderedPageBreak/>
        <w:t>Discussion</w:t>
      </w:r>
      <w:bookmarkEnd w:id="5"/>
      <w:r w:rsidRPr="00CC2A71">
        <w:rPr>
          <w:rFonts w:ascii="Calibri" w:hAnsi="Calibri" w:cs="Calibri"/>
          <w:b/>
          <w:bCs/>
          <w:sz w:val="24"/>
          <w:szCs w:val="24"/>
        </w:rPr>
        <w:t xml:space="preserve"> </w:t>
      </w:r>
    </w:p>
    <w:p w14:paraId="55D5D327" w14:textId="77777777" w:rsidR="00104708" w:rsidRPr="00104708" w:rsidRDefault="00104708" w:rsidP="00104708">
      <w:pPr>
        <w:pStyle w:val="Heading1"/>
        <w:spacing w:line="480" w:lineRule="auto"/>
        <w:rPr>
          <w:rFonts w:ascii="Calibri" w:eastAsiaTheme="minorHAnsi" w:hAnsi="Calibri" w:cs="Calibri"/>
          <w:color w:val="000000" w:themeColor="text1"/>
          <w:sz w:val="24"/>
          <w:szCs w:val="24"/>
        </w:rPr>
      </w:pPr>
      <w:bookmarkStart w:id="6" w:name="_Toc220957856"/>
      <w:r w:rsidRPr="00104708">
        <w:rPr>
          <w:rFonts w:ascii="Calibri" w:eastAsiaTheme="minorHAnsi" w:hAnsi="Calibri" w:cs="Calibri"/>
          <w:color w:val="000000" w:themeColor="text1"/>
          <w:sz w:val="24"/>
          <w:szCs w:val="24"/>
        </w:rPr>
        <w:t>It is through this discussion that the results of the study are aimed at being critically interpreted against the background of known literature and the objectives of the research. The discussion shows that Human Resource Management (HRM) practices are central and strategic towards employee engagement in the hospitality industry. In line with previous studies, the results affirm that employee engagement is not a psychological aberration but an implication of the well-constructed HRM systems, facilitating leadership, and people-based organizational cultures.</w:t>
      </w:r>
    </w:p>
    <w:p w14:paraId="07125F74" w14:textId="77777777" w:rsidR="00104708" w:rsidRPr="00104708" w:rsidRDefault="00104708" w:rsidP="00104708">
      <w:pPr>
        <w:pStyle w:val="Heading1"/>
        <w:spacing w:line="480" w:lineRule="auto"/>
        <w:rPr>
          <w:rFonts w:ascii="Calibri" w:eastAsiaTheme="minorHAnsi" w:hAnsi="Calibri" w:cs="Calibri"/>
          <w:color w:val="000000" w:themeColor="text1"/>
          <w:sz w:val="24"/>
          <w:szCs w:val="24"/>
        </w:rPr>
      </w:pPr>
    </w:p>
    <w:p w14:paraId="66E4A846" w14:textId="77777777" w:rsidR="00104708" w:rsidRPr="00104708" w:rsidRDefault="00104708" w:rsidP="00104708">
      <w:pPr>
        <w:pStyle w:val="Heading1"/>
        <w:spacing w:line="480" w:lineRule="auto"/>
        <w:rPr>
          <w:rFonts w:ascii="Calibri" w:eastAsiaTheme="minorHAnsi" w:hAnsi="Calibri" w:cs="Calibri"/>
          <w:color w:val="000000" w:themeColor="text1"/>
          <w:sz w:val="24"/>
          <w:szCs w:val="24"/>
        </w:rPr>
      </w:pPr>
      <w:r w:rsidRPr="00104708">
        <w:rPr>
          <w:rFonts w:ascii="Calibri" w:eastAsiaTheme="minorHAnsi" w:hAnsi="Calibri" w:cs="Calibri"/>
          <w:color w:val="000000" w:themeColor="text1"/>
          <w:sz w:val="24"/>
          <w:szCs w:val="24"/>
        </w:rPr>
        <w:t xml:space="preserve">Among the most remarkable findings that have come out of the results is that training and development have a great impact on employee engagement. The literature review highlighted that the continuous learning cultivates </w:t>
      </w:r>
      <w:proofErr w:type="gramStart"/>
      <w:r w:rsidRPr="00104708">
        <w:rPr>
          <w:rFonts w:ascii="Calibri" w:eastAsiaTheme="minorHAnsi" w:hAnsi="Calibri" w:cs="Calibri"/>
          <w:color w:val="000000" w:themeColor="text1"/>
          <w:sz w:val="24"/>
          <w:szCs w:val="24"/>
        </w:rPr>
        <w:t>employees</w:t>
      </w:r>
      <w:proofErr w:type="gramEnd"/>
      <w:r w:rsidRPr="00104708">
        <w:rPr>
          <w:rFonts w:ascii="Calibri" w:eastAsiaTheme="minorHAnsi" w:hAnsi="Calibri" w:cs="Calibri"/>
          <w:color w:val="000000" w:themeColor="text1"/>
          <w:sz w:val="24"/>
          <w:szCs w:val="24"/>
        </w:rPr>
        <w:t xml:space="preserve"> skills, confidence and service competence especially in front desk hospitality jobs. This is supported by the findings that show that hospitality organizations that have invested in structured training programs have increased employee commitment and discretionary effort. In terms of theory, this reinforces the Ability element of the AMO framework in which skill acquisition increases the ability of employees to have meaningful interactions with their work. In addition, training is a social exchange process, which is an indicator of organizational support and an initiator of similar positive </w:t>
      </w:r>
      <w:proofErr w:type="spellStart"/>
      <w:r w:rsidRPr="00104708">
        <w:rPr>
          <w:rFonts w:ascii="Calibri" w:eastAsiaTheme="minorHAnsi" w:hAnsi="Calibri" w:cs="Calibri"/>
          <w:color w:val="000000" w:themeColor="text1"/>
          <w:sz w:val="24"/>
          <w:szCs w:val="24"/>
        </w:rPr>
        <w:t>behaviors</w:t>
      </w:r>
      <w:proofErr w:type="spellEnd"/>
      <w:r w:rsidRPr="00104708">
        <w:rPr>
          <w:rFonts w:ascii="Calibri" w:eastAsiaTheme="minorHAnsi" w:hAnsi="Calibri" w:cs="Calibri"/>
          <w:color w:val="000000" w:themeColor="text1"/>
          <w:sz w:val="24"/>
          <w:szCs w:val="24"/>
        </w:rPr>
        <w:t xml:space="preserve"> among employees.</w:t>
      </w:r>
    </w:p>
    <w:p w14:paraId="6D187C0A" w14:textId="77777777" w:rsidR="00104708" w:rsidRPr="00104708" w:rsidRDefault="00104708" w:rsidP="00104708">
      <w:pPr>
        <w:pStyle w:val="Heading1"/>
        <w:spacing w:line="480" w:lineRule="auto"/>
        <w:rPr>
          <w:rFonts w:ascii="Calibri" w:eastAsiaTheme="minorHAnsi" w:hAnsi="Calibri" w:cs="Calibri"/>
          <w:color w:val="000000" w:themeColor="text1"/>
          <w:sz w:val="24"/>
          <w:szCs w:val="24"/>
        </w:rPr>
      </w:pPr>
    </w:p>
    <w:p w14:paraId="5F5B7A13" w14:textId="77777777" w:rsidR="00104708" w:rsidRPr="00104708" w:rsidRDefault="00104708" w:rsidP="00104708">
      <w:pPr>
        <w:pStyle w:val="Heading1"/>
        <w:spacing w:line="480" w:lineRule="auto"/>
        <w:rPr>
          <w:rFonts w:ascii="Calibri" w:eastAsiaTheme="minorHAnsi" w:hAnsi="Calibri" w:cs="Calibri"/>
          <w:color w:val="000000" w:themeColor="text1"/>
          <w:sz w:val="24"/>
          <w:szCs w:val="24"/>
        </w:rPr>
      </w:pPr>
      <w:r w:rsidRPr="00104708">
        <w:rPr>
          <w:rFonts w:ascii="Calibri" w:eastAsiaTheme="minorHAnsi" w:hAnsi="Calibri" w:cs="Calibri"/>
          <w:color w:val="000000" w:themeColor="text1"/>
          <w:sz w:val="24"/>
          <w:szCs w:val="24"/>
        </w:rPr>
        <w:lastRenderedPageBreak/>
        <w:t xml:space="preserve">Performance management systems also come out as a decisive factor on engagement. The results indicate that open and developmental performance appraisals build trust, motivation and organizational goal congruency. This conforms to the Social Exchange Theory that posits that more the employees feel they are fairly represented and </w:t>
      </w:r>
      <w:proofErr w:type="spellStart"/>
      <w:r w:rsidRPr="00104708">
        <w:rPr>
          <w:rFonts w:ascii="Calibri" w:eastAsiaTheme="minorHAnsi" w:hAnsi="Calibri" w:cs="Calibri"/>
          <w:color w:val="000000" w:themeColor="text1"/>
          <w:sz w:val="24"/>
          <w:szCs w:val="24"/>
        </w:rPr>
        <w:t>honored</w:t>
      </w:r>
      <w:proofErr w:type="spellEnd"/>
      <w:r w:rsidRPr="00104708">
        <w:rPr>
          <w:rFonts w:ascii="Calibri" w:eastAsiaTheme="minorHAnsi" w:hAnsi="Calibri" w:cs="Calibri"/>
          <w:color w:val="000000" w:themeColor="text1"/>
          <w:sz w:val="24"/>
          <w:szCs w:val="24"/>
        </w:rPr>
        <w:t xml:space="preserve"> by organizational practices, the more they will be involved. Fair appraisal systems increase role clarity, minimize role ambiguity and reinforce engagement, since in a hospitality setting, performance is highly correlated with service quality, facilitating engagement. On the other hand, inconsistency and transparency in the design of HRM support the argument that inherently, poorly designed appraisal systems can destroy trust and demoralize, rather than motivate.</w:t>
      </w:r>
    </w:p>
    <w:p w14:paraId="53672137" w14:textId="77777777" w:rsidR="00104708" w:rsidRPr="00104708" w:rsidRDefault="00104708" w:rsidP="00104708">
      <w:pPr>
        <w:pStyle w:val="Heading1"/>
        <w:spacing w:line="480" w:lineRule="auto"/>
        <w:rPr>
          <w:rFonts w:ascii="Calibri" w:eastAsiaTheme="minorHAnsi" w:hAnsi="Calibri" w:cs="Calibri"/>
          <w:color w:val="000000" w:themeColor="text1"/>
          <w:sz w:val="24"/>
          <w:szCs w:val="24"/>
        </w:rPr>
      </w:pPr>
    </w:p>
    <w:p w14:paraId="36720D8D" w14:textId="77777777" w:rsidR="00104708" w:rsidRPr="00104708" w:rsidRDefault="00104708" w:rsidP="00104708">
      <w:pPr>
        <w:pStyle w:val="Heading1"/>
        <w:spacing w:line="480" w:lineRule="auto"/>
        <w:rPr>
          <w:rFonts w:ascii="Calibri" w:eastAsiaTheme="minorHAnsi" w:hAnsi="Calibri" w:cs="Calibri"/>
          <w:color w:val="000000" w:themeColor="text1"/>
          <w:sz w:val="24"/>
          <w:szCs w:val="24"/>
        </w:rPr>
      </w:pPr>
      <w:r w:rsidRPr="00104708">
        <w:rPr>
          <w:rFonts w:ascii="Calibri" w:eastAsiaTheme="minorHAnsi" w:hAnsi="Calibri" w:cs="Calibri"/>
          <w:color w:val="000000" w:themeColor="text1"/>
          <w:sz w:val="24"/>
          <w:szCs w:val="24"/>
        </w:rPr>
        <w:t xml:space="preserve">Another important theme of the discussion is career development opportunities. High staff turnover has long been a problem in the hospitality sector, which is usually explained by low career advance. The results also reveal that employers with well-defined career ladders, internal mobility, and those with leadership development are better in engagement and retention. This observation confirms the available literature which has re-established career development as a </w:t>
      </w:r>
      <w:proofErr w:type="gramStart"/>
      <w:r w:rsidRPr="00104708">
        <w:rPr>
          <w:rFonts w:ascii="Calibri" w:eastAsiaTheme="minorHAnsi" w:hAnsi="Calibri" w:cs="Calibri"/>
          <w:color w:val="000000" w:themeColor="text1"/>
          <w:sz w:val="24"/>
          <w:szCs w:val="24"/>
        </w:rPr>
        <w:t>long term</w:t>
      </w:r>
      <w:proofErr w:type="gramEnd"/>
      <w:r w:rsidRPr="00104708">
        <w:rPr>
          <w:rFonts w:ascii="Calibri" w:eastAsiaTheme="minorHAnsi" w:hAnsi="Calibri" w:cs="Calibri"/>
          <w:color w:val="000000" w:themeColor="text1"/>
          <w:sz w:val="24"/>
          <w:szCs w:val="24"/>
        </w:rPr>
        <w:t xml:space="preserve"> engagement driver and not a </w:t>
      </w:r>
      <w:proofErr w:type="gramStart"/>
      <w:r w:rsidRPr="00104708">
        <w:rPr>
          <w:rFonts w:ascii="Calibri" w:eastAsiaTheme="minorHAnsi" w:hAnsi="Calibri" w:cs="Calibri"/>
          <w:color w:val="000000" w:themeColor="text1"/>
          <w:sz w:val="24"/>
          <w:szCs w:val="24"/>
        </w:rPr>
        <w:t>short term</w:t>
      </w:r>
      <w:proofErr w:type="gramEnd"/>
      <w:r w:rsidRPr="00104708">
        <w:rPr>
          <w:rFonts w:ascii="Calibri" w:eastAsiaTheme="minorHAnsi" w:hAnsi="Calibri" w:cs="Calibri"/>
          <w:color w:val="000000" w:themeColor="text1"/>
          <w:sz w:val="24"/>
          <w:szCs w:val="24"/>
        </w:rPr>
        <w:t xml:space="preserve"> motivation tool. When employees have a sense of future development in the organization, the probability of investing in their jobs both emotionally and cognitively is high, leading to increased organizational commitment and decreased turnover intentions.</w:t>
      </w:r>
    </w:p>
    <w:p w14:paraId="507EBA81" w14:textId="77777777" w:rsidR="00104708" w:rsidRPr="00104708" w:rsidRDefault="00104708" w:rsidP="00104708">
      <w:pPr>
        <w:pStyle w:val="Heading1"/>
        <w:spacing w:line="480" w:lineRule="auto"/>
        <w:rPr>
          <w:rFonts w:ascii="Calibri" w:eastAsiaTheme="minorHAnsi" w:hAnsi="Calibri" w:cs="Calibri"/>
          <w:color w:val="000000" w:themeColor="text1"/>
          <w:sz w:val="24"/>
          <w:szCs w:val="24"/>
        </w:rPr>
      </w:pPr>
    </w:p>
    <w:p w14:paraId="28C5D05D" w14:textId="77777777" w:rsidR="00104708" w:rsidRPr="00104708" w:rsidRDefault="00104708" w:rsidP="00104708">
      <w:pPr>
        <w:pStyle w:val="Heading1"/>
        <w:spacing w:line="480" w:lineRule="auto"/>
        <w:rPr>
          <w:rFonts w:ascii="Calibri" w:eastAsiaTheme="minorHAnsi" w:hAnsi="Calibri" w:cs="Calibri"/>
          <w:color w:val="000000" w:themeColor="text1"/>
          <w:sz w:val="24"/>
          <w:szCs w:val="24"/>
        </w:rPr>
      </w:pPr>
      <w:r w:rsidRPr="00104708">
        <w:rPr>
          <w:rFonts w:ascii="Calibri" w:eastAsiaTheme="minorHAnsi" w:hAnsi="Calibri" w:cs="Calibri"/>
          <w:color w:val="000000" w:themeColor="text1"/>
          <w:sz w:val="24"/>
          <w:szCs w:val="24"/>
        </w:rPr>
        <w:lastRenderedPageBreak/>
        <w:t xml:space="preserve">It also comes out that leadership style is a strong contextual variable that defines the effectiveness of HRM practices. The results are consistent, demonstrating that transformational, servant, and supportive leadership styles increase employee engagement through building trust, empowerment, and psychological safety. This confirms the previous studies in hospitality that leadership </w:t>
      </w:r>
      <w:proofErr w:type="spellStart"/>
      <w:r w:rsidRPr="00104708">
        <w:rPr>
          <w:rFonts w:ascii="Calibri" w:eastAsiaTheme="minorHAnsi" w:hAnsi="Calibri" w:cs="Calibri"/>
          <w:color w:val="000000" w:themeColor="text1"/>
          <w:sz w:val="24"/>
          <w:szCs w:val="24"/>
        </w:rPr>
        <w:t>behavior</w:t>
      </w:r>
      <w:proofErr w:type="spellEnd"/>
      <w:r w:rsidRPr="00104708">
        <w:rPr>
          <w:rFonts w:ascii="Calibri" w:eastAsiaTheme="minorHAnsi" w:hAnsi="Calibri" w:cs="Calibri"/>
          <w:color w:val="000000" w:themeColor="text1"/>
          <w:sz w:val="24"/>
          <w:szCs w:val="24"/>
        </w:rPr>
        <w:t xml:space="preserve"> amplifies or minimizes effectiveness of HRM systems. Empathic leaders who offer personalized attention and engage in participation provide work experiences in which employees feel appreciated and inspired. Conversely, authoritarian leaders are linked to emotional exhaustion and disengagement, especially in high stress hospitality environment. The findings indicate that leadership should be incorporated into HRM strategies instead of considering leadership as an independent organizational activity.</w:t>
      </w:r>
    </w:p>
    <w:p w14:paraId="47D75009" w14:textId="77777777" w:rsidR="00104708" w:rsidRPr="00104708" w:rsidRDefault="00104708" w:rsidP="00104708">
      <w:pPr>
        <w:pStyle w:val="Heading1"/>
        <w:spacing w:line="480" w:lineRule="auto"/>
        <w:rPr>
          <w:rFonts w:ascii="Calibri" w:eastAsiaTheme="minorHAnsi" w:hAnsi="Calibri" w:cs="Calibri"/>
          <w:color w:val="000000" w:themeColor="text1"/>
          <w:sz w:val="24"/>
          <w:szCs w:val="24"/>
        </w:rPr>
      </w:pPr>
    </w:p>
    <w:p w14:paraId="2A26315A" w14:textId="77777777" w:rsidR="00104708" w:rsidRPr="00104708" w:rsidRDefault="00104708" w:rsidP="00104708">
      <w:pPr>
        <w:pStyle w:val="Heading1"/>
        <w:spacing w:line="480" w:lineRule="auto"/>
        <w:rPr>
          <w:rFonts w:ascii="Calibri" w:eastAsiaTheme="minorHAnsi" w:hAnsi="Calibri" w:cs="Calibri"/>
          <w:color w:val="000000" w:themeColor="text1"/>
          <w:sz w:val="24"/>
          <w:szCs w:val="24"/>
        </w:rPr>
      </w:pPr>
      <w:r w:rsidRPr="00104708">
        <w:rPr>
          <w:rFonts w:ascii="Calibri" w:eastAsiaTheme="minorHAnsi" w:hAnsi="Calibri" w:cs="Calibri"/>
          <w:color w:val="000000" w:themeColor="text1"/>
          <w:sz w:val="24"/>
          <w:szCs w:val="24"/>
        </w:rPr>
        <w:lastRenderedPageBreak/>
        <w:t xml:space="preserve">Another paramount aspect that is addressed in the discussion is that of employee well-being. These results support the hypothesis that the workload in hospitality is significantly high, and hospitality employees </w:t>
      </w:r>
      <w:proofErr w:type="gramStart"/>
      <w:r w:rsidRPr="00104708">
        <w:rPr>
          <w:rFonts w:ascii="Calibri" w:eastAsiaTheme="minorHAnsi" w:hAnsi="Calibri" w:cs="Calibri"/>
          <w:color w:val="000000" w:themeColor="text1"/>
          <w:sz w:val="24"/>
          <w:szCs w:val="24"/>
        </w:rPr>
        <w:t>have to</w:t>
      </w:r>
      <w:proofErr w:type="gramEnd"/>
      <w:r w:rsidRPr="00104708">
        <w:rPr>
          <w:rFonts w:ascii="Calibri" w:eastAsiaTheme="minorHAnsi" w:hAnsi="Calibri" w:cs="Calibri"/>
          <w:color w:val="000000" w:themeColor="text1"/>
          <w:sz w:val="24"/>
          <w:szCs w:val="24"/>
        </w:rPr>
        <w:t xml:space="preserve"> work long hours, engage in emotional </w:t>
      </w:r>
      <w:proofErr w:type="spellStart"/>
      <w:r w:rsidRPr="00104708">
        <w:rPr>
          <w:rFonts w:ascii="Calibri" w:eastAsiaTheme="minorHAnsi" w:hAnsi="Calibri" w:cs="Calibri"/>
          <w:color w:val="000000" w:themeColor="text1"/>
          <w:sz w:val="24"/>
          <w:szCs w:val="24"/>
        </w:rPr>
        <w:t>labor</w:t>
      </w:r>
      <w:proofErr w:type="spellEnd"/>
      <w:r w:rsidRPr="00104708">
        <w:rPr>
          <w:rFonts w:ascii="Calibri" w:eastAsiaTheme="minorHAnsi" w:hAnsi="Calibri" w:cs="Calibri"/>
          <w:color w:val="000000" w:themeColor="text1"/>
          <w:sz w:val="24"/>
          <w:szCs w:val="24"/>
        </w:rPr>
        <w:t>, and have non-standard working hours. These demands hurt well-being and engagement in the absence of proper HRM interventions. Nevertheless, companies that invest in the welfare of employees by providing flexible working conditions, psychological and mental health care, along with accommodating work environments, show greater levels of engagement. According to the Job Demands Resources model, these health and well-being programs act as job resources mitigating the adverse consequences of job demands. This supports the thesis that the well-being of employees is not only a welfare issue but also a strategic determinant of employee engagement and service quality.</w:t>
      </w:r>
    </w:p>
    <w:p w14:paraId="1640197F" w14:textId="77777777" w:rsidR="00104708" w:rsidRPr="00104708" w:rsidRDefault="00104708" w:rsidP="00104708">
      <w:pPr>
        <w:pStyle w:val="Heading1"/>
        <w:spacing w:line="480" w:lineRule="auto"/>
        <w:rPr>
          <w:rFonts w:ascii="Calibri" w:eastAsiaTheme="minorHAnsi" w:hAnsi="Calibri" w:cs="Calibri"/>
          <w:color w:val="000000" w:themeColor="text1"/>
          <w:sz w:val="24"/>
          <w:szCs w:val="24"/>
        </w:rPr>
      </w:pPr>
    </w:p>
    <w:p w14:paraId="341EE1C6" w14:textId="77777777" w:rsidR="00104708" w:rsidRPr="00104708" w:rsidRDefault="00104708" w:rsidP="00104708">
      <w:pPr>
        <w:pStyle w:val="Heading1"/>
        <w:spacing w:line="480" w:lineRule="auto"/>
        <w:rPr>
          <w:rFonts w:ascii="Calibri" w:eastAsiaTheme="minorHAnsi" w:hAnsi="Calibri" w:cs="Calibri"/>
          <w:color w:val="000000" w:themeColor="text1"/>
          <w:sz w:val="24"/>
          <w:szCs w:val="24"/>
        </w:rPr>
      </w:pPr>
      <w:r w:rsidRPr="00104708">
        <w:rPr>
          <w:rFonts w:ascii="Calibri" w:eastAsiaTheme="minorHAnsi" w:hAnsi="Calibri" w:cs="Calibri"/>
          <w:color w:val="000000" w:themeColor="text1"/>
          <w:sz w:val="24"/>
          <w:szCs w:val="24"/>
        </w:rPr>
        <w:t>The case studies also enhance the discussion by showing how the theoretical aspects are applied in real world hospitality organizations. Four Seasons, Ritz-Carlton, and Marriott prove that engagement-oriented HRM practices can be sustainable and scalable, provided they are done in accordance with organizational values and philosophy of leadership. One of the lessons of these cases is that engagement among employees is not an HR program on its own but part of corporate culture. The concepts of empowerment, recognition, and employee voice are regarded repeatedly to be mutual practices in all the case organizations, which supports the notion that engagement can flourish when employees are trusted and respected.</w:t>
      </w:r>
    </w:p>
    <w:p w14:paraId="1FC82B18" w14:textId="77777777" w:rsidR="00104708" w:rsidRPr="00104708" w:rsidRDefault="00104708" w:rsidP="00104708">
      <w:pPr>
        <w:pStyle w:val="Heading1"/>
        <w:spacing w:line="480" w:lineRule="auto"/>
        <w:rPr>
          <w:rFonts w:ascii="Calibri" w:eastAsiaTheme="minorHAnsi" w:hAnsi="Calibri" w:cs="Calibri"/>
          <w:color w:val="000000" w:themeColor="text1"/>
          <w:sz w:val="24"/>
          <w:szCs w:val="24"/>
        </w:rPr>
      </w:pPr>
    </w:p>
    <w:p w14:paraId="2E6CB51A" w14:textId="194B5DB7" w:rsidR="00104708" w:rsidRPr="00104708" w:rsidRDefault="00104708" w:rsidP="00104708">
      <w:pPr>
        <w:pStyle w:val="Heading1"/>
        <w:spacing w:line="480" w:lineRule="auto"/>
        <w:rPr>
          <w:rFonts w:ascii="Calibri" w:eastAsiaTheme="minorHAnsi" w:hAnsi="Calibri" w:cs="Calibri"/>
          <w:color w:val="000000" w:themeColor="text1"/>
          <w:sz w:val="24"/>
          <w:szCs w:val="24"/>
        </w:rPr>
      </w:pPr>
      <w:r w:rsidRPr="00104708">
        <w:rPr>
          <w:rFonts w:ascii="Calibri" w:eastAsiaTheme="minorHAnsi" w:hAnsi="Calibri" w:cs="Calibri"/>
          <w:color w:val="000000" w:themeColor="text1"/>
          <w:sz w:val="24"/>
          <w:szCs w:val="24"/>
        </w:rPr>
        <w:t>Noteworthy, the discussion notes that employee engagement is a mediating variable between HRM practices and performance in the organization. Motivated employees will lead to a high level of service, increased customer satisfaction, and brand loyalty. The given finding strengthens the strategic importance of HRM in hospitality as employee engagement can be viewed as a competitive driver. Organizations that invest in engagement-based HRM systems stand a better chance of having sustainable performance outcomes that are important in an industry where service differentiation is paramount.</w:t>
      </w:r>
    </w:p>
    <w:p w14:paraId="39AF6891" w14:textId="77777777" w:rsidR="00104708" w:rsidRDefault="00104708" w:rsidP="00104708">
      <w:pPr>
        <w:pStyle w:val="Heading1"/>
        <w:spacing w:line="480" w:lineRule="auto"/>
        <w:rPr>
          <w:rFonts w:ascii="Calibri" w:eastAsiaTheme="minorHAnsi" w:hAnsi="Calibri" w:cs="Calibri"/>
          <w:color w:val="000000" w:themeColor="text1"/>
          <w:sz w:val="24"/>
          <w:szCs w:val="24"/>
        </w:rPr>
      </w:pPr>
      <w:r w:rsidRPr="00104708">
        <w:rPr>
          <w:rFonts w:ascii="Calibri" w:eastAsiaTheme="minorHAnsi" w:hAnsi="Calibri" w:cs="Calibri"/>
          <w:color w:val="000000" w:themeColor="text1"/>
          <w:sz w:val="24"/>
          <w:szCs w:val="24"/>
        </w:rPr>
        <w:t>Although these strengths are present, limitations of the existing body of research are also recognized during the discussion. Most of the literature on hospitality engagement is based on cross-sectional designs that restrict causal inference. Besides, the changing character of work, such as digital HRM systems and post-pandemic workforce expectations are under-researched. These gaps indicate that future research can fill these gaps by exploring how technological innovation and evolving employee values impact engagement dynamics within hospitality settings.</w:t>
      </w:r>
    </w:p>
    <w:p w14:paraId="543042C4" w14:textId="77777777" w:rsidR="00104708" w:rsidRDefault="00104708" w:rsidP="00104708"/>
    <w:p w14:paraId="35A4483D" w14:textId="77777777" w:rsidR="00104708" w:rsidRDefault="00104708" w:rsidP="00104708"/>
    <w:p w14:paraId="5486A3CF" w14:textId="77777777" w:rsidR="00104708" w:rsidRDefault="00104708" w:rsidP="00104708"/>
    <w:p w14:paraId="609DB2DA" w14:textId="77777777" w:rsidR="00104708" w:rsidRPr="00104708" w:rsidRDefault="00104708" w:rsidP="00104708"/>
    <w:p w14:paraId="0C553CBF" w14:textId="11BDCEB3" w:rsidR="006664D5" w:rsidRPr="00CC2A71" w:rsidRDefault="006664D5" w:rsidP="00104708">
      <w:pPr>
        <w:pStyle w:val="Heading1"/>
        <w:spacing w:line="480" w:lineRule="auto"/>
        <w:rPr>
          <w:rFonts w:ascii="Calibri" w:hAnsi="Calibri" w:cs="Calibri"/>
          <w:b/>
          <w:bCs/>
          <w:sz w:val="24"/>
          <w:szCs w:val="24"/>
        </w:rPr>
      </w:pPr>
      <w:r w:rsidRPr="00CC2A71">
        <w:rPr>
          <w:rFonts w:ascii="Calibri" w:hAnsi="Calibri" w:cs="Calibri"/>
          <w:b/>
          <w:bCs/>
          <w:sz w:val="24"/>
          <w:szCs w:val="24"/>
        </w:rPr>
        <w:lastRenderedPageBreak/>
        <w:t>Conclusion</w:t>
      </w:r>
      <w:bookmarkEnd w:id="6"/>
      <w:r w:rsidRPr="00CC2A71">
        <w:rPr>
          <w:rFonts w:ascii="Calibri" w:hAnsi="Calibri" w:cs="Calibri"/>
          <w:b/>
          <w:bCs/>
          <w:sz w:val="24"/>
          <w:szCs w:val="24"/>
        </w:rPr>
        <w:t xml:space="preserve"> </w:t>
      </w:r>
    </w:p>
    <w:p w14:paraId="1A414C6B" w14:textId="77777777" w:rsidR="009C10B1" w:rsidRPr="009C10B1" w:rsidRDefault="009C10B1" w:rsidP="009C10B1">
      <w:pPr>
        <w:spacing w:line="480" w:lineRule="auto"/>
        <w:rPr>
          <w:rFonts w:ascii="Calibri" w:hAnsi="Calibri" w:cs="Calibri"/>
          <w:color w:val="000000" w:themeColor="text1"/>
          <w:szCs w:val="24"/>
        </w:rPr>
      </w:pPr>
      <w:r w:rsidRPr="009C10B1">
        <w:rPr>
          <w:rFonts w:ascii="Calibri" w:hAnsi="Calibri" w:cs="Calibri"/>
          <w:color w:val="000000" w:themeColor="text1"/>
          <w:szCs w:val="24"/>
        </w:rPr>
        <w:t>This study has examined the role of Human Resource Management in fostering employee engagement within the hospitality industry. Drawing on established theoretical frameworks, empirical literature, and real-world case studies, the assignment demonstrates that employee engagement is a strategic outcome shaped by integrated HRM practices, supportive leadership, and a strong focus on employee well-being. In service-intensive hospitality environments, where employee attitudes directly influence guest experiences, engagement emerges as a critical driver of organizational success.</w:t>
      </w:r>
    </w:p>
    <w:p w14:paraId="561D598B" w14:textId="77777777" w:rsidR="009C10B1" w:rsidRPr="009C10B1" w:rsidRDefault="009C10B1" w:rsidP="009C10B1">
      <w:pPr>
        <w:spacing w:line="480" w:lineRule="auto"/>
        <w:rPr>
          <w:rFonts w:ascii="Calibri" w:hAnsi="Calibri" w:cs="Calibri"/>
          <w:color w:val="000000" w:themeColor="text1"/>
          <w:szCs w:val="24"/>
        </w:rPr>
      </w:pPr>
      <w:r w:rsidRPr="009C10B1">
        <w:rPr>
          <w:rFonts w:ascii="Calibri" w:hAnsi="Calibri" w:cs="Calibri"/>
          <w:color w:val="000000" w:themeColor="text1"/>
          <w:szCs w:val="24"/>
        </w:rPr>
        <w:t>The findings confirm that HRM practices such as training and development, performance management, rewards, and career progression play a vital role in enhancing employee engagement. These practices not only improve employee skills and motivation but also signal organizational support, strengthening the psychological contract between employees and employers. Leadership style further moderates this relationship, with transformational and servant leadership approaches proving particularly effective in sustaining engagement. Additionally, employee well-being initiatives are shown to mitigate burnout and enhance long-term commitment in demanding hospitality roles.</w:t>
      </w:r>
    </w:p>
    <w:p w14:paraId="3F011DEF" w14:textId="77777777" w:rsidR="009C10B1" w:rsidRPr="009C10B1" w:rsidRDefault="009C10B1" w:rsidP="009C10B1">
      <w:pPr>
        <w:spacing w:line="480" w:lineRule="auto"/>
        <w:rPr>
          <w:rFonts w:ascii="Calibri" w:hAnsi="Calibri" w:cs="Calibri"/>
          <w:color w:val="000000" w:themeColor="text1"/>
          <w:szCs w:val="24"/>
        </w:rPr>
      </w:pPr>
      <w:r w:rsidRPr="009C10B1">
        <w:rPr>
          <w:rFonts w:ascii="Calibri" w:hAnsi="Calibri" w:cs="Calibri"/>
          <w:color w:val="000000" w:themeColor="text1"/>
          <w:szCs w:val="24"/>
        </w:rPr>
        <w:t xml:space="preserve">The case studies of leading hospitality organizations illustrate that engagement-focused HRM strategies can be successfully implemented across diverse operational contexts. Organizations that embed engagement into their culture and leadership philosophy achieve superior service quality, higher employee retention, and stronger competitive positioning. Collectively, these </w:t>
      </w:r>
      <w:r w:rsidRPr="009C10B1">
        <w:rPr>
          <w:rFonts w:ascii="Calibri" w:hAnsi="Calibri" w:cs="Calibri"/>
          <w:color w:val="000000" w:themeColor="text1"/>
          <w:szCs w:val="24"/>
        </w:rPr>
        <w:lastRenderedPageBreak/>
        <w:t>insights highlight that employee engagement should be viewed as a long-term strategic investment rather than a short-term HR initiative.</w:t>
      </w:r>
    </w:p>
    <w:p w14:paraId="28E63E01" w14:textId="77777777" w:rsidR="009C10B1" w:rsidRPr="009C10B1" w:rsidRDefault="009C10B1" w:rsidP="009C10B1">
      <w:pPr>
        <w:spacing w:line="480" w:lineRule="auto"/>
        <w:rPr>
          <w:rFonts w:ascii="Calibri" w:hAnsi="Calibri" w:cs="Calibri"/>
          <w:color w:val="000000" w:themeColor="text1"/>
          <w:szCs w:val="24"/>
        </w:rPr>
      </w:pPr>
      <w:r w:rsidRPr="009C10B1">
        <w:rPr>
          <w:rFonts w:ascii="Calibri" w:hAnsi="Calibri" w:cs="Calibri"/>
          <w:color w:val="000000" w:themeColor="text1"/>
          <w:szCs w:val="24"/>
        </w:rPr>
        <w:t>In conclusion, effective HRM is fundamental to sustaining employee engagement and organizational performance in the hospitality industry. By prioritizing people-centric practices, supportive leadership, and employee well-being, hospitality organizations can create resilient, motivated, and service-oriented workforces capable of delivering consistent value to both customers and stakeholders.</w:t>
      </w:r>
    </w:p>
    <w:p w14:paraId="292F8FAD" w14:textId="77777777" w:rsidR="006664D5" w:rsidRDefault="006664D5" w:rsidP="006664D5">
      <w:pPr>
        <w:spacing w:line="480" w:lineRule="auto"/>
        <w:rPr>
          <w:rFonts w:ascii="Calibri" w:hAnsi="Calibri" w:cs="Calibri"/>
          <w:b/>
          <w:bCs/>
          <w:color w:val="000000" w:themeColor="text1"/>
          <w:szCs w:val="24"/>
        </w:rPr>
      </w:pPr>
    </w:p>
    <w:p w14:paraId="342BE312" w14:textId="77777777" w:rsidR="009C10B1" w:rsidRDefault="009C10B1" w:rsidP="006664D5">
      <w:pPr>
        <w:spacing w:line="480" w:lineRule="auto"/>
        <w:rPr>
          <w:rFonts w:ascii="Calibri" w:hAnsi="Calibri" w:cs="Calibri"/>
          <w:b/>
          <w:bCs/>
          <w:color w:val="000000" w:themeColor="text1"/>
          <w:szCs w:val="24"/>
        </w:rPr>
      </w:pPr>
    </w:p>
    <w:p w14:paraId="7511BA63" w14:textId="77777777" w:rsidR="009C10B1" w:rsidRDefault="009C10B1" w:rsidP="006664D5">
      <w:pPr>
        <w:spacing w:line="480" w:lineRule="auto"/>
        <w:rPr>
          <w:rFonts w:ascii="Calibri" w:hAnsi="Calibri" w:cs="Calibri"/>
          <w:b/>
          <w:bCs/>
          <w:color w:val="000000" w:themeColor="text1"/>
          <w:szCs w:val="24"/>
        </w:rPr>
      </w:pPr>
    </w:p>
    <w:p w14:paraId="08B6A93E" w14:textId="77777777" w:rsidR="009C10B1" w:rsidRDefault="009C10B1" w:rsidP="006664D5">
      <w:pPr>
        <w:spacing w:line="480" w:lineRule="auto"/>
        <w:rPr>
          <w:rFonts w:ascii="Calibri" w:hAnsi="Calibri" w:cs="Calibri"/>
          <w:b/>
          <w:bCs/>
          <w:color w:val="000000" w:themeColor="text1"/>
          <w:szCs w:val="24"/>
        </w:rPr>
      </w:pPr>
    </w:p>
    <w:p w14:paraId="77AF0891" w14:textId="77777777" w:rsidR="009C10B1" w:rsidRDefault="009C10B1" w:rsidP="006664D5">
      <w:pPr>
        <w:spacing w:line="480" w:lineRule="auto"/>
        <w:rPr>
          <w:rFonts w:ascii="Calibri" w:hAnsi="Calibri" w:cs="Calibri"/>
          <w:b/>
          <w:bCs/>
          <w:color w:val="000000" w:themeColor="text1"/>
          <w:szCs w:val="24"/>
        </w:rPr>
      </w:pPr>
    </w:p>
    <w:p w14:paraId="303383E6" w14:textId="77777777" w:rsidR="009C10B1" w:rsidRDefault="009C10B1" w:rsidP="006664D5">
      <w:pPr>
        <w:spacing w:line="480" w:lineRule="auto"/>
        <w:rPr>
          <w:rFonts w:ascii="Calibri" w:hAnsi="Calibri" w:cs="Calibri"/>
          <w:b/>
          <w:bCs/>
          <w:color w:val="000000" w:themeColor="text1"/>
          <w:szCs w:val="24"/>
        </w:rPr>
      </w:pPr>
    </w:p>
    <w:p w14:paraId="3AA5B4FD" w14:textId="77777777" w:rsidR="009C10B1" w:rsidRDefault="009C10B1" w:rsidP="006664D5">
      <w:pPr>
        <w:spacing w:line="480" w:lineRule="auto"/>
        <w:rPr>
          <w:rFonts w:ascii="Calibri" w:hAnsi="Calibri" w:cs="Calibri"/>
          <w:b/>
          <w:bCs/>
          <w:color w:val="000000" w:themeColor="text1"/>
          <w:szCs w:val="24"/>
        </w:rPr>
      </w:pPr>
    </w:p>
    <w:p w14:paraId="1ED8D184" w14:textId="77777777" w:rsidR="009C10B1" w:rsidRDefault="009C10B1" w:rsidP="006664D5">
      <w:pPr>
        <w:spacing w:line="480" w:lineRule="auto"/>
        <w:rPr>
          <w:rFonts w:ascii="Calibri" w:hAnsi="Calibri" w:cs="Calibri"/>
          <w:b/>
          <w:bCs/>
          <w:color w:val="000000" w:themeColor="text1"/>
          <w:szCs w:val="24"/>
        </w:rPr>
      </w:pPr>
    </w:p>
    <w:p w14:paraId="01EC9599" w14:textId="77777777" w:rsidR="009C10B1" w:rsidRDefault="009C10B1" w:rsidP="006664D5">
      <w:pPr>
        <w:spacing w:line="480" w:lineRule="auto"/>
        <w:rPr>
          <w:rFonts w:ascii="Calibri" w:hAnsi="Calibri" w:cs="Calibri"/>
          <w:b/>
          <w:bCs/>
          <w:color w:val="000000" w:themeColor="text1"/>
          <w:szCs w:val="24"/>
        </w:rPr>
      </w:pPr>
    </w:p>
    <w:p w14:paraId="0864B431" w14:textId="77777777" w:rsidR="009C10B1" w:rsidRPr="00CC2A71" w:rsidRDefault="009C10B1" w:rsidP="006664D5">
      <w:pPr>
        <w:spacing w:line="480" w:lineRule="auto"/>
        <w:rPr>
          <w:rFonts w:ascii="Calibri" w:hAnsi="Calibri" w:cs="Calibri"/>
          <w:b/>
          <w:bCs/>
          <w:color w:val="000000" w:themeColor="text1"/>
          <w:szCs w:val="24"/>
        </w:rPr>
      </w:pPr>
    </w:p>
    <w:p w14:paraId="20A79BCB" w14:textId="77777777" w:rsidR="006664D5" w:rsidRPr="00CC2A71" w:rsidRDefault="006664D5" w:rsidP="006664D5">
      <w:pPr>
        <w:pStyle w:val="Heading1"/>
        <w:spacing w:line="480" w:lineRule="auto"/>
        <w:rPr>
          <w:rFonts w:ascii="Calibri" w:hAnsi="Calibri" w:cs="Calibri"/>
          <w:b/>
          <w:bCs/>
          <w:sz w:val="24"/>
          <w:szCs w:val="24"/>
        </w:rPr>
      </w:pPr>
      <w:bookmarkStart w:id="7" w:name="_Toc220957857"/>
      <w:r w:rsidRPr="00CC2A71">
        <w:rPr>
          <w:rFonts w:ascii="Calibri" w:hAnsi="Calibri" w:cs="Calibri"/>
          <w:b/>
          <w:bCs/>
          <w:sz w:val="24"/>
          <w:szCs w:val="24"/>
        </w:rPr>
        <w:lastRenderedPageBreak/>
        <w:t>References</w:t>
      </w:r>
      <w:bookmarkEnd w:id="7"/>
      <w:r w:rsidRPr="00CC2A71">
        <w:rPr>
          <w:rFonts w:ascii="Calibri" w:hAnsi="Calibri" w:cs="Calibri"/>
          <w:b/>
          <w:bCs/>
          <w:sz w:val="24"/>
          <w:szCs w:val="24"/>
        </w:rPr>
        <w:t xml:space="preserve"> </w:t>
      </w:r>
    </w:p>
    <w:p w14:paraId="34FE2E4A" w14:textId="77777777" w:rsidR="009C10B1" w:rsidRPr="009C10B1" w:rsidRDefault="009C10B1" w:rsidP="009C10B1">
      <w:pPr>
        <w:spacing w:line="480" w:lineRule="auto"/>
        <w:rPr>
          <w:rFonts w:ascii="Calibri" w:hAnsi="Calibri" w:cs="Calibri"/>
          <w:color w:val="000000" w:themeColor="text1"/>
          <w:szCs w:val="24"/>
        </w:rPr>
      </w:pPr>
      <w:r w:rsidRPr="009C10B1">
        <w:rPr>
          <w:rFonts w:ascii="Calibri" w:hAnsi="Calibri" w:cs="Calibri"/>
          <w:color w:val="000000" w:themeColor="text1"/>
          <w:szCs w:val="24"/>
        </w:rPr>
        <w:t xml:space="preserve">Albrecht, S. L., Bakker, A. B., Gruman, J. A., Macey, W. H., &amp; Saks, A. M. (2015). Employee engagement, human resource management practices and competitive advantage. </w:t>
      </w:r>
      <w:r w:rsidRPr="009C10B1">
        <w:rPr>
          <w:rFonts w:ascii="Calibri" w:hAnsi="Calibri" w:cs="Calibri"/>
          <w:i/>
          <w:iCs/>
          <w:color w:val="000000" w:themeColor="text1"/>
          <w:szCs w:val="24"/>
        </w:rPr>
        <w:t>Journal of Organizational Effectiveness: People and Performance, 2</w:t>
      </w:r>
      <w:r w:rsidRPr="009C10B1">
        <w:rPr>
          <w:rFonts w:ascii="Calibri" w:hAnsi="Calibri" w:cs="Calibri"/>
          <w:color w:val="000000" w:themeColor="text1"/>
          <w:szCs w:val="24"/>
        </w:rPr>
        <w:t>(1), 7–35. https://doi.org/10.1108/JOEPP-08-2014-0042</w:t>
      </w:r>
    </w:p>
    <w:p w14:paraId="1642A0FE" w14:textId="77777777" w:rsidR="009C10B1" w:rsidRPr="009C10B1" w:rsidRDefault="009C10B1" w:rsidP="009C10B1">
      <w:pPr>
        <w:spacing w:line="480" w:lineRule="auto"/>
        <w:rPr>
          <w:rFonts w:ascii="Calibri" w:hAnsi="Calibri" w:cs="Calibri"/>
          <w:color w:val="000000" w:themeColor="text1"/>
          <w:szCs w:val="24"/>
        </w:rPr>
      </w:pPr>
      <w:r w:rsidRPr="009C10B1">
        <w:rPr>
          <w:rFonts w:ascii="Calibri" w:hAnsi="Calibri" w:cs="Calibri"/>
          <w:color w:val="000000" w:themeColor="text1"/>
          <w:szCs w:val="24"/>
        </w:rPr>
        <w:t xml:space="preserve">Bakker, A. B., &amp; Demerouti, E. (2007). The Job Demands–Resources model: State of the art. </w:t>
      </w:r>
      <w:r w:rsidRPr="009C10B1">
        <w:rPr>
          <w:rFonts w:ascii="Calibri" w:hAnsi="Calibri" w:cs="Calibri"/>
          <w:i/>
          <w:iCs/>
          <w:color w:val="000000" w:themeColor="text1"/>
          <w:szCs w:val="24"/>
        </w:rPr>
        <w:t>Journal of Managerial Psychology, 22</w:t>
      </w:r>
      <w:r w:rsidRPr="009C10B1">
        <w:rPr>
          <w:rFonts w:ascii="Calibri" w:hAnsi="Calibri" w:cs="Calibri"/>
          <w:color w:val="000000" w:themeColor="text1"/>
          <w:szCs w:val="24"/>
        </w:rPr>
        <w:t xml:space="preserve">(3), 309–328. </w:t>
      </w:r>
      <w:hyperlink r:id="rId6" w:tgtFrame="_new" w:history="1">
        <w:r w:rsidRPr="009C10B1">
          <w:rPr>
            <w:rStyle w:val="Hyperlink"/>
            <w:rFonts w:ascii="Calibri" w:hAnsi="Calibri" w:cs="Calibri"/>
            <w:szCs w:val="24"/>
          </w:rPr>
          <w:t>https://doi.org/10.1108/02683940710733115</w:t>
        </w:r>
      </w:hyperlink>
    </w:p>
    <w:p w14:paraId="1526F2C6" w14:textId="77777777" w:rsidR="009C10B1" w:rsidRPr="009C10B1" w:rsidRDefault="009C10B1" w:rsidP="009C10B1">
      <w:pPr>
        <w:spacing w:line="480" w:lineRule="auto"/>
        <w:rPr>
          <w:rFonts w:ascii="Calibri" w:hAnsi="Calibri" w:cs="Calibri"/>
          <w:color w:val="000000" w:themeColor="text1"/>
          <w:szCs w:val="24"/>
        </w:rPr>
      </w:pPr>
      <w:r w:rsidRPr="009C10B1">
        <w:rPr>
          <w:rFonts w:ascii="Calibri" w:hAnsi="Calibri" w:cs="Calibri"/>
          <w:color w:val="000000" w:themeColor="text1"/>
          <w:szCs w:val="24"/>
        </w:rPr>
        <w:t xml:space="preserve">Blau, P. M. (1964). </w:t>
      </w:r>
      <w:r w:rsidRPr="009C10B1">
        <w:rPr>
          <w:rFonts w:ascii="Calibri" w:hAnsi="Calibri" w:cs="Calibri"/>
          <w:i/>
          <w:iCs/>
          <w:color w:val="000000" w:themeColor="text1"/>
          <w:szCs w:val="24"/>
        </w:rPr>
        <w:t>Exchange and power in social life</w:t>
      </w:r>
      <w:r w:rsidRPr="009C10B1">
        <w:rPr>
          <w:rFonts w:ascii="Calibri" w:hAnsi="Calibri" w:cs="Calibri"/>
          <w:color w:val="000000" w:themeColor="text1"/>
          <w:szCs w:val="24"/>
        </w:rPr>
        <w:t>. New York, NY: Wiley.</w:t>
      </w:r>
    </w:p>
    <w:p w14:paraId="123C647F" w14:textId="77777777" w:rsidR="009C10B1" w:rsidRPr="009C10B1" w:rsidRDefault="009C10B1" w:rsidP="009C10B1">
      <w:pPr>
        <w:spacing w:line="480" w:lineRule="auto"/>
        <w:rPr>
          <w:rFonts w:ascii="Calibri" w:hAnsi="Calibri" w:cs="Calibri"/>
          <w:color w:val="000000" w:themeColor="text1"/>
          <w:szCs w:val="24"/>
        </w:rPr>
      </w:pPr>
      <w:r w:rsidRPr="009C10B1">
        <w:rPr>
          <w:rFonts w:ascii="Calibri" w:hAnsi="Calibri" w:cs="Calibri"/>
          <w:color w:val="000000" w:themeColor="text1"/>
          <w:szCs w:val="24"/>
        </w:rPr>
        <w:t xml:space="preserve">Boselie, P., Dietz, G., &amp; Boon, C. (2005). Commonalities and contradictions in HRM and performance research. </w:t>
      </w:r>
      <w:r w:rsidRPr="009C10B1">
        <w:rPr>
          <w:rFonts w:ascii="Calibri" w:hAnsi="Calibri" w:cs="Calibri"/>
          <w:i/>
          <w:iCs/>
          <w:color w:val="000000" w:themeColor="text1"/>
          <w:szCs w:val="24"/>
        </w:rPr>
        <w:t>Human Resource Management Journal, 15</w:t>
      </w:r>
      <w:r w:rsidRPr="009C10B1">
        <w:rPr>
          <w:rFonts w:ascii="Calibri" w:hAnsi="Calibri" w:cs="Calibri"/>
          <w:color w:val="000000" w:themeColor="text1"/>
          <w:szCs w:val="24"/>
        </w:rPr>
        <w:t xml:space="preserve">(3), 67–94. </w:t>
      </w:r>
      <w:hyperlink r:id="rId7" w:tgtFrame="_new" w:history="1">
        <w:r w:rsidRPr="009C10B1">
          <w:rPr>
            <w:rStyle w:val="Hyperlink"/>
            <w:rFonts w:ascii="Calibri" w:hAnsi="Calibri" w:cs="Calibri"/>
            <w:szCs w:val="24"/>
          </w:rPr>
          <w:t>https://doi.org/10.1111/j.1748-8583.2005.tb00154.x</w:t>
        </w:r>
      </w:hyperlink>
    </w:p>
    <w:p w14:paraId="31E80DB4" w14:textId="77777777" w:rsidR="009C10B1" w:rsidRPr="009C10B1" w:rsidRDefault="009C10B1" w:rsidP="009C10B1">
      <w:pPr>
        <w:spacing w:line="480" w:lineRule="auto"/>
        <w:rPr>
          <w:rFonts w:ascii="Calibri" w:hAnsi="Calibri" w:cs="Calibri"/>
          <w:color w:val="000000" w:themeColor="text1"/>
          <w:szCs w:val="24"/>
        </w:rPr>
      </w:pPr>
      <w:proofErr w:type="spellStart"/>
      <w:r w:rsidRPr="009C10B1">
        <w:rPr>
          <w:rFonts w:ascii="Calibri" w:hAnsi="Calibri" w:cs="Calibri"/>
          <w:color w:val="000000" w:themeColor="text1"/>
          <w:szCs w:val="24"/>
        </w:rPr>
        <w:t>Breevaart</w:t>
      </w:r>
      <w:proofErr w:type="spellEnd"/>
      <w:r w:rsidRPr="009C10B1">
        <w:rPr>
          <w:rFonts w:ascii="Calibri" w:hAnsi="Calibri" w:cs="Calibri"/>
          <w:color w:val="000000" w:themeColor="text1"/>
          <w:szCs w:val="24"/>
        </w:rPr>
        <w:t xml:space="preserve">, K., Bakker, A. B., Demerouti, E., &amp; Van den Heuvel, M. (2014). Leader–member exchange, work engagement, and job performance. </w:t>
      </w:r>
      <w:r w:rsidRPr="009C10B1">
        <w:rPr>
          <w:rFonts w:ascii="Calibri" w:hAnsi="Calibri" w:cs="Calibri"/>
          <w:i/>
          <w:iCs/>
          <w:color w:val="000000" w:themeColor="text1"/>
          <w:szCs w:val="24"/>
        </w:rPr>
        <w:t>Journal of Managerial Psychology, 30</w:t>
      </w:r>
      <w:r w:rsidRPr="009C10B1">
        <w:rPr>
          <w:rFonts w:ascii="Calibri" w:hAnsi="Calibri" w:cs="Calibri"/>
          <w:color w:val="000000" w:themeColor="text1"/>
          <w:szCs w:val="24"/>
        </w:rPr>
        <w:t>(7), 754–770. https://doi.org/10.1108/JMP-03-2013-0088</w:t>
      </w:r>
    </w:p>
    <w:p w14:paraId="2E627F02" w14:textId="77777777" w:rsidR="009C10B1" w:rsidRPr="009C10B1" w:rsidRDefault="009C10B1" w:rsidP="009C10B1">
      <w:pPr>
        <w:spacing w:line="480" w:lineRule="auto"/>
        <w:rPr>
          <w:rFonts w:ascii="Calibri" w:hAnsi="Calibri" w:cs="Calibri"/>
          <w:color w:val="000000" w:themeColor="text1"/>
          <w:szCs w:val="24"/>
        </w:rPr>
      </w:pPr>
      <w:r w:rsidRPr="009C10B1">
        <w:rPr>
          <w:rFonts w:ascii="Calibri" w:hAnsi="Calibri" w:cs="Calibri"/>
          <w:color w:val="000000" w:themeColor="text1"/>
          <w:szCs w:val="24"/>
        </w:rPr>
        <w:t xml:space="preserve">Chiang, C. F., Han, T. S., &amp; Chuang, J. S. (2011). The relationship between HRM practices and service performance. </w:t>
      </w:r>
      <w:r w:rsidRPr="009C10B1">
        <w:rPr>
          <w:rFonts w:ascii="Calibri" w:hAnsi="Calibri" w:cs="Calibri"/>
          <w:i/>
          <w:iCs/>
          <w:color w:val="000000" w:themeColor="text1"/>
          <w:szCs w:val="24"/>
        </w:rPr>
        <w:t>International Journal of Hospitality Management, 30</w:t>
      </w:r>
      <w:r w:rsidRPr="009C10B1">
        <w:rPr>
          <w:rFonts w:ascii="Calibri" w:hAnsi="Calibri" w:cs="Calibri"/>
          <w:color w:val="000000" w:themeColor="text1"/>
          <w:szCs w:val="24"/>
        </w:rPr>
        <w:t>(4), 834–844. https://doi.org/10.1016/j.ijhm.2011.01.008</w:t>
      </w:r>
    </w:p>
    <w:p w14:paraId="13AF2BEF" w14:textId="77777777" w:rsidR="009C10B1" w:rsidRPr="009C10B1" w:rsidRDefault="009C10B1" w:rsidP="009C10B1">
      <w:pPr>
        <w:spacing w:line="480" w:lineRule="auto"/>
        <w:rPr>
          <w:rFonts w:ascii="Calibri" w:hAnsi="Calibri" w:cs="Calibri"/>
          <w:color w:val="000000" w:themeColor="text1"/>
          <w:szCs w:val="24"/>
        </w:rPr>
      </w:pPr>
      <w:r w:rsidRPr="009C10B1">
        <w:rPr>
          <w:rFonts w:ascii="Calibri" w:hAnsi="Calibri" w:cs="Calibri"/>
          <w:color w:val="000000" w:themeColor="text1"/>
          <w:szCs w:val="24"/>
        </w:rPr>
        <w:lastRenderedPageBreak/>
        <w:t xml:space="preserve">Eva, N., Robin, M., </w:t>
      </w:r>
      <w:proofErr w:type="spellStart"/>
      <w:r w:rsidRPr="009C10B1">
        <w:rPr>
          <w:rFonts w:ascii="Calibri" w:hAnsi="Calibri" w:cs="Calibri"/>
          <w:color w:val="000000" w:themeColor="text1"/>
          <w:szCs w:val="24"/>
        </w:rPr>
        <w:t>Sendjaya</w:t>
      </w:r>
      <w:proofErr w:type="spellEnd"/>
      <w:r w:rsidRPr="009C10B1">
        <w:rPr>
          <w:rFonts w:ascii="Calibri" w:hAnsi="Calibri" w:cs="Calibri"/>
          <w:color w:val="000000" w:themeColor="text1"/>
          <w:szCs w:val="24"/>
        </w:rPr>
        <w:t xml:space="preserve">, S., Van Dierendonck, D., &amp; Liden, R. C. (2019). Servant leadership: A systematic review and call for future research. </w:t>
      </w:r>
      <w:r w:rsidRPr="009C10B1">
        <w:rPr>
          <w:rFonts w:ascii="Calibri" w:hAnsi="Calibri" w:cs="Calibri"/>
          <w:i/>
          <w:iCs/>
          <w:color w:val="000000" w:themeColor="text1"/>
          <w:szCs w:val="24"/>
        </w:rPr>
        <w:t>The Leadership Quarterly, 30</w:t>
      </w:r>
      <w:r w:rsidRPr="009C10B1">
        <w:rPr>
          <w:rFonts w:ascii="Calibri" w:hAnsi="Calibri" w:cs="Calibri"/>
          <w:color w:val="000000" w:themeColor="text1"/>
          <w:szCs w:val="24"/>
        </w:rPr>
        <w:t xml:space="preserve">(1), 111–132. </w:t>
      </w:r>
      <w:hyperlink r:id="rId8" w:tgtFrame="_new" w:history="1">
        <w:r w:rsidRPr="009C10B1">
          <w:rPr>
            <w:rStyle w:val="Hyperlink"/>
            <w:rFonts w:ascii="Calibri" w:hAnsi="Calibri" w:cs="Calibri"/>
            <w:szCs w:val="24"/>
          </w:rPr>
          <w:t>https://doi.org/10.1016/j.leaqua.2018.07.004</w:t>
        </w:r>
      </w:hyperlink>
    </w:p>
    <w:p w14:paraId="4235347F" w14:textId="77777777" w:rsidR="009C10B1" w:rsidRPr="009C10B1" w:rsidRDefault="009C10B1" w:rsidP="009C10B1">
      <w:pPr>
        <w:spacing w:line="480" w:lineRule="auto"/>
        <w:rPr>
          <w:rFonts w:ascii="Calibri" w:hAnsi="Calibri" w:cs="Calibri"/>
          <w:color w:val="000000" w:themeColor="text1"/>
          <w:szCs w:val="24"/>
        </w:rPr>
      </w:pPr>
      <w:proofErr w:type="spellStart"/>
      <w:r w:rsidRPr="009C10B1">
        <w:rPr>
          <w:rFonts w:ascii="Calibri" w:hAnsi="Calibri" w:cs="Calibri"/>
          <w:color w:val="000000" w:themeColor="text1"/>
          <w:szCs w:val="24"/>
        </w:rPr>
        <w:t>Grawitch</w:t>
      </w:r>
      <w:proofErr w:type="spellEnd"/>
      <w:r w:rsidRPr="009C10B1">
        <w:rPr>
          <w:rFonts w:ascii="Calibri" w:hAnsi="Calibri" w:cs="Calibri"/>
          <w:color w:val="000000" w:themeColor="text1"/>
          <w:szCs w:val="24"/>
        </w:rPr>
        <w:t xml:space="preserve">, M. J., Gottschalk, M., &amp; Munz, D. C. (2006). The path to a healthy workplace. </w:t>
      </w:r>
      <w:r w:rsidRPr="009C10B1">
        <w:rPr>
          <w:rFonts w:ascii="Calibri" w:hAnsi="Calibri" w:cs="Calibri"/>
          <w:i/>
          <w:iCs/>
          <w:color w:val="000000" w:themeColor="text1"/>
          <w:szCs w:val="24"/>
        </w:rPr>
        <w:t>Consulting Psychology Journal: Practice and Research, 58</w:t>
      </w:r>
      <w:r w:rsidRPr="009C10B1">
        <w:rPr>
          <w:rFonts w:ascii="Calibri" w:hAnsi="Calibri" w:cs="Calibri"/>
          <w:color w:val="000000" w:themeColor="text1"/>
          <w:szCs w:val="24"/>
        </w:rPr>
        <w:t xml:space="preserve">(3), 129–147. </w:t>
      </w:r>
      <w:hyperlink r:id="rId9" w:tgtFrame="_new" w:history="1">
        <w:r w:rsidRPr="009C10B1">
          <w:rPr>
            <w:rStyle w:val="Hyperlink"/>
            <w:rFonts w:ascii="Calibri" w:hAnsi="Calibri" w:cs="Calibri"/>
            <w:szCs w:val="24"/>
          </w:rPr>
          <w:t>https://doi.org/10.1037/1065-9293.58.3.129</w:t>
        </w:r>
      </w:hyperlink>
    </w:p>
    <w:p w14:paraId="0E2BC4F8" w14:textId="77777777" w:rsidR="009C10B1" w:rsidRPr="009C10B1" w:rsidRDefault="009C10B1" w:rsidP="009C10B1">
      <w:pPr>
        <w:spacing w:line="480" w:lineRule="auto"/>
        <w:rPr>
          <w:rFonts w:ascii="Calibri" w:hAnsi="Calibri" w:cs="Calibri"/>
          <w:color w:val="000000" w:themeColor="text1"/>
          <w:szCs w:val="24"/>
        </w:rPr>
      </w:pPr>
      <w:r w:rsidRPr="009C10B1">
        <w:rPr>
          <w:rFonts w:ascii="Calibri" w:hAnsi="Calibri" w:cs="Calibri"/>
          <w:color w:val="000000" w:themeColor="text1"/>
          <w:szCs w:val="24"/>
        </w:rPr>
        <w:t xml:space="preserve">Harter, J. K., Schmidt, F. L., &amp; Hayes, T. L. (2002). Business-unit-level relationship between employee satisfaction, engagement, and performance. </w:t>
      </w:r>
      <w:r w:rsidRPr="009C10B1">
        <w:rPr>
          <w:rFonts w:ascii="Calibri" w:hAnsi="Calibri" w:cs="Calibri"/>
          <w:i/>
          <w:iCs/>
          <w:color w:val="000000" w:themeColor="text1"/>
          <w:szCs w:val="24"/>
        </w:rPr>
        <w:t>Journal of Applied Psychology, 87</w:t>
      </w:r>
      <w:r w:rsidRPr="009C10B1">
        <w:rPr>
          <w:rFonts w:ascii="Calibri" w:hAnsi="Calibri" w:cs="Calibri"/>
          <w:color w:val="000000" w:themeColor="text1"/>
          <w:szCs w:val="24"/>
        </w:rPr>
        <w:t xml:space="preserve">(2), 268–279. </w:t>
      </w:r>
      <w:hyperlink r:id="rId10" w:tgtFrame="_new" w:history="1">
        <w:r w:rsidRPr="009C10B1">
          <w:rPr>
            <w:rStyle w:val="Hyperlink"/>
            <w:rFonts w:ascii="Calibri" w:hAnsi="Calibri" w:cs="Calibri"/>
            <w:szCs w:val="24"/>
          </w:rPr>
          <w:t>https://doi.org/10.1037/0021-9010.87.2.268</w:t>
        </w:r>
      </w:hyperlink>
    </w:p>
    <w:p w14:paraId="40300B33" w14:textId="77777777" w:rsidR="009C10B1" w:rsidRPr="009C10B1" w:rsidRDefault="009C10B1" w:rsidP="009C10B1">
      <w:pPr>
        <w:spacing w:line="480" w:lineRule="auto"/>
        <w:rPr>
          <w:rFonts w:ascii="Calibri" w:hAnsi="Calibri" w:cs="Calibri"/>
          <w:color w:val="000000" w:themeColor="text1"/>
          <w:szCs w:val="24"/>
        </w:rPr>
      </w:pPr>
      <w:r w:rsidRPr="009C10B1">
        <w:rPr>
          <w:rFonts w:ascii="Calibri" w:hAnsi="Calibri" w:cs="Calibri"/>
          <w:color w:val="000000" w:themeColor="text1"/>
          <w:szCs w:val="24"/>
        </w:rPr>
        <w:t xml:space="preserve">Hom, P. W., Lee, T. W., Shaw, J. D., &amp; Hausknecht, J. P. (2017). One hundred years of employee turnover theory and research. </w:t>
      </w:r>
      <w:r w:rsidRPr="009C10B1">
        <w:rPr>
          <w:rFonts w:ascii="Calibri" w:hAnsi="Calibri" w:cs="Calibri"/>
          <w:i/>
          <w:iCs/>
          <w:color w:val="000000" w:themeColor="text1"/>
          <w:szCs w:val="24"/>
        </w:rPr>
        <w:t>Journal of Applied Psychology, 102</w:t>
      </w:r>
      <w:r w:rsidRPr="009C10B1">
        <w:rPr>
          <w:rFonts w:ascii="Calibri" w:hAnsi="Calibri" w:cs="Calibri"/>
          <w:color w:val="000000" w:themeColor="text1"/>
          <w:szCs w:val="24"/>
        </w:rPr>
        <w:t xml:space="preserve">(3), 530–545. </w:t>
      </w:r>
      <w:hyperlink r:id="rId11" w:tgtFrame="_new" w:history="1">
        <w:r w:rsidRPr="009C10B1">
          <w:rPr>
            <w:rStyle w:val="Hyperlink"/>
            <w:rFonts w:ascii="Calibri" w:hAnsi="Calibri" w:cs="Calibri"/>
            <w:szCs w:val="24"/>
          </w:rPr>
          <w:t>https://doi.org/10.1037/apl0000103</w:t>
        </w:r>
      </w:hyperlink>
    </w:p>
    <w:p w14:paraId="0E2A8AB5" w14:textId="77777777" w:rsidR="009C10B1" w:rsidRPr="009C10B1" w:rsidRDefault="009C10B1" w:rsidP="009C10B1">
      <w:pPr>
        <w:spacing w:line="480" w:lineRule="auto"/>
        <w:rPr>
          <w:rFonts w:ascii="Calibri" w:hAnsi="Calibri" w:cs="Calibri"/>
          <w:color w:val="000000" w:themeColor="text1"/>
          <w:szCs w:val="24"/>
        </w:rPr>
      </w:pPr>
      <w:r w:rsidRPr="009C10B1">
        <w:rPr>
          <w:rFonts w:ascii="Calibri" w:hAnsi="Calibri" w:cs="Calibri"/>
          <w:color w:val="000000" w:themeColor="text1"/>
          <w:szCs w:val="24"/>
        </w:rPr>
        <w:t xml:space="preserve">Jung, H. S., &amp; Yoon, H. H. (2015). The impact of employees’ positive psychological capital on job satisfaction and organizational citizenship </w:t>
      </w:r>
      <w:proofErr w:type="spellStart"/>
      <w:r w:rsidRPr="009C10B1">
        <w:rPr>
          <w:rFonts w:ascii="Calibri" w:hAnsi="Calibri" w:cs="Calibri"/>
          <w:color w:val="000000" w:themeColor="text1"/>
          <w:szCs w:val="24"/>
        </w:rPr>
        <w:t>behaviors</w:t>
      </w:r>
      <w:proofErr w:type="spellEnd"/>
      <w:r w:rsidRPr="009C10B1">
        <w:rPr>
          <w:rFonts w:ascii="Calibri" w:hAnsi="Calibri" w:cs="Calibri"/>
          <w:color w:val="000000" w:themeColor="text1"/>
          <w:szCs w:val="24"/>
        </w:rPr>
        <w:t xml:space="preserve">. </w:t>
      </w:r>
      <w:r w:rsidRPr="009C10B1">
        <w:rPr>
          <w:rFonts w:ascii="Calibri" w:hAnsi="Calibri" w:cs="Calibri"/>
          <w:i/>
          <w:iCs/>
          <w:color w:val="000000" w:themeColor="text1"/>
          <w:szCs w:val="24"/>
        </w:rPr>
        <w:t>International Journal of Contemporary Hospitality Management, 27</w:t>
      </w:r>
      <w:r w:rsidRPr="009C10B1">
        <w:rPr>
          <w:rFonts w:ascii="Calibri" w:hAnsi="Calibri" w:cs="Calibri"/>
          <w:color w:val="000000" w:themeColor="text1"/>
          <w:szCs w:val="24"/>
        </w:rPr>
        <w:t>(6), 1135–1156. https://doi.org/10.1108/IJCHM-01-2014-0019</w:t>
      </w:r>
    </w:p>
    <w:p w14:paraId="1117F9CE" w14:textId="77777777" w:rsidR="009C10B1" w:rsidRPr="009C10B1" w:rsidRDefault="009C10B1" w:rsidP="009C10B1">
      <w:pPr>
        <w:spacing w:line="480" w:lineRule="auto"/>
        <w:rPr>
          <w:rFonts w:ascii="Calibri" w:hAnsi="Calibri" w:cs="Calibri"/>
          <w:color w:val="000000" w:themeColor="text1"/>
          <w:szCs w:val="24"/>
        </w:rPr>
      </w:pPr>
      <w:r w:rsidRPr="009C10B1">
        <w:rPr>
          <w:rFonts w:ascii="Calibri" w:hAnsi="Calibri" w:cs="Calibri"/>
          <w:color w:val="000000" w:themeColor="text1"/>
          <w:szCs w:val="24"/>
        </w:rPr>
        <w:t xml:space="preserve">Karatepe, O. M. (2012). The effects of coworker and perceived organizational support on hotel employee outcomes. </w:t>
      </w:r>
      <w:r w:rsidRPr="009C10B1">
        <w:rPr>
          <w:rFonts w:ascii="Calibri" w:hAnsi="Calibri" w:cs="Calibri"/>
          <w:i/>
          <w:iCs/>
          <w:color w:val="000000" w:themeColor="text1"/>
          <w:szCs w:val="24"/>
        </w:rPr>
        <w:t>International Journal of Contemporary Hospitality Management, 24</w:t>
      </w:r>
      <w:r w:rsidRPr="009C10B1">
        <w:rPr>
          <w:rFonts w:ascii="Calibri" w:hAnsi="Calibri" w:cs="Calibri"/>
          <w:color w:val="000000" w:themeColor="text1"/>
          <w:szCs w:val="24"/>
        </w:rPr>
        <w:t>(5), 735–752. https://doi.org/10.1108/09596111211237273</w:t>
      </w:r>
    </w:p>
    <w:p w14:paraId="5FD70237" w14:textId="77777777" w:rsidR="009C10B1" w:rsidRPr="009C10B1" w:rsidRDefault="009C10B1" w:rsidP="009C10B1">
      <w:pPr>
        <w:spacing w:line="480" w:lineRule="auto"/>
        <w:rPr>
          <w:rFonts w:ascii="Calibri" w:hAnsi="Calibri" w:cs="Calibri"/>
          <w:color w:val="000000" w:themeColor="text1"/>
          <w:szCs w:val="24"/>
        </w:rPr>
      </w:pPr>
      <w:r w:rsidRPr="009C10B1">
        <w:rPr>
          <w:rFonts w:ascii="Calibri" w:hAnsi="Calibri" w:cs="Calibri"/>
          <w:color w:val="000000" w:themeColor="text1"/>
          <w:szCs w:val="24"/>
        </w:rPr>
        <w:lastRenderedPageBreak/>
        <w:t xml:space="preserve">Karatepe, O. M. (2013). High-performance work practices and hotel employee performance. </w:t>
      </w:r>
      <w:r w:rsidRPr="009C10B1">
        <w:rPr>
          <w:rFonts w:ascii="Calibri" w:hAnsi="Calibri" w:cs="Calibri"/>
          <w:i/>
          <w:iCs/>
          <w:color w:val="000000" w:themeColor="text1"/>
          <w:szCs w:val="24"/>
        </w:rPr>
        <w:t>International Journal of Contemporary Hospitality Management, 25</w:t>
      </w:r>
      <w:r w:rsidRPr="009C10B1">
        <w:rPr>
          <w:rFonts w:ascii="Calibri" w:hAnsi="Calibri" w:cs="Calibri"/>
          <w:color w:val="000000" w:themeColor="text1"/>
          <w:szCs w:val="24"/>
        </w:rPr>
        <w:t>(4), 512–532. https://doi.org/10.1108/09596111311322921</w:t>
      </w:r>
    </w:p>
    <w:p w14:paraId="567CE287" w14:textId="77777777" w:rsidR="009C10B1" w:rsidRPr="009C10B1" w:rsidRDefault="009C10B1" w:rsidP="009C10B1">
      <w:pPr>
        <w:spacing w:line="480" w:lineRule="auto"/>
        <w:rPr>
          <w:rFonts w:ascii="Calibri" w:hAnsi="Calibri" w:cs="Calibri"/>
          <w:color w:val="000000" w:themeColor="text1"/>
          <w:szCs w:val="24"/>
        </w:rPr>
      </w:pPr>
      <w:r w:rsidRPr="009C10B1">
        <w:rPr>
          <w:rFonts w:ascii="Calibri" w:hAnsi="Calibri" w:cs="Calibri"/>
          <w:color w:val="000000" w:themeColor="text1"/>
          <w:szCs w:val="24"/>
        </w:rPr>
        <w:t xml:space="preserve">Karatepe, O. M., &amp; </w:t>
      </w:r>
      <w:proofErr w:type="spellStart"/>
      <w:r w:rsidRPr="009C10B1">
        <w:rPr>
          <w:rFonts w:ascii="Calibri" w:hAnsi="Calibri" w:cs="Calibri"/>
          <w:color w:val="000000" w:themeColor="text1"/>
          <w:szCs w:val="24"/>
        </w:rPr>
        <w:t>Olugbade</w:t>
      </w:r>
      <w:proofErr w:type="spellEnd"/>
      <w:r w:rsidRPr="009C10B1">
        <w:rPr>
          <w:rFonts w:ascii="Calibri" w:hAnsi="Calibri" w:cs="Calibri"/>
          <w:color w:val="000000" w:themeColor="text1"/>
          <w:szCs w:val="24"/>
        </w:rPr>
        <w:t xml:space="preserve">, O. A. (2009). The effects of job and personal resources on work engagement. </w:t>
      </w:r>
      <w:r w:rsidRPr="009C10B1">
        <w:rPr>
          <w:rFonts w:ascii="Calibri" w:hAnsi="Calibri" w:cs="Calibri"/>
          <w:i/>
          <w:iCs/>
          <w:color w:val="000000" w:themeColor="text1"/>
          <w:szCs w:val="24"/>
        </w:rPr>
        <w:t>International Journal of Hospitality Management, 28</w:t>
      </w:r>
      <w:r w:rsidRPr="009C10B1">
        <w:rPr>
          <w:rFonts w:ascii="Calibri" w:hAnsi="Calibri" w:cs="Calibri"/>
          <w:color w:val="000000" w:themeColor="text1"/>
          <w:szCs w:val="24"/>
        </w:rPr>
        <w:t>(4), 504–512. https://doi.org/10.1016/j.ijhm.2009.02.003</w:t>
      </w:r>
    </w:p>
    <w:p w14:paraId="100B3A20" w14:textId="77777777" w:rsidR="009C10B1" w:rsidRPr="009C10B1" w:rsidRDefault="009C10B1" w:rsidP="009C10B1">
      <w:pPr>
        <w:spacing w:line="480" w:lineRule="auto"/>
        <w:rPr>
          <w:rFonts w:ascii="Calibri" w:hAnsi="Calibri" w:cs="Calibri"/>
          <w:color w:val="000000" w:themeColor="text1"/>
          <w:szCs w:val="24"/>
        </w:rPr>
      </w:pPr>
      <w:r w:rsidRPr="009C10B1">
        <w:rPr>
          <w:rFonts w:ascii="Calibri" w:hAnsi="Calibri" w:cs="Calibri"/>
          <w:color w:val="000000" w:themeColor="text1"/>
          <w:szCs w:val="24"/>
        </w:rPr>
        <w:t xml:space="preserve">Karatepe, O. M., &amp; </w:t>
      </w:r>
      <w:proofErr w:type="spellStart"/>
      <w:r w:rsidRPr="009C10B1">
        <w:rPr>
          <w:rFonts w:ascii="Calibri" w:hAnsi="Calibri" w:cs="Calibri"/>
          <w:color w:val="000000" w:themeColor="text1"/>
          <w:szCs w:val="24"/>
        </w:rPr>
        <w:t>Uludag</w:t>
      </w:r>
      <w:proofErr w:type="spellEnd"/>
      <w:r w:rsidRPr="009C10B1">
        <w:rPr>
          <w:rFonts w:ascii="Calibri" w:hAnsi="Calibri" w:cs="Calibri"/>
          <w:color w:val="000000" w:themeColor="text1"/>
          <w:szCs w:val="24"/>
        </w:rPr>
        <w:t xml:space="preserve">, O. (2007). Conflict, exhaustion, and motivation. </w:t>
      </w:r>
      <w:r w:rsidRPr="009C10B1">
        <w:rPr>
          <w:rFonts w:ascii="Calibri" w:hAnsi="Calibri" w:cs="Calibri"/>
          <w:i/>
          <w:iCs/>
          <w:color w:val="000000" w:themeColor="text1"/>
          <w:szCs w:val="24"/>
        </w:rPr>
        <w:t>International Journal of Hospitality Management, 26</w:t>
      </w:r>
      <w:r w:rsidRPr="009C10B1">
        <w:rPr>
          <w:rFonts w:ascii="Calibri" w:hAnsi="Calibri" w:cs="Calibri"/>
          <w:color w:val="000000" w:themeColor="text1"/>
          <w:szCs w:val="24"/>
        </w:rPr>
        <w:t>(3), 645–665. https://doi.org/10.1016/j.ijhm.2006.05.006</w:t>
      </w:r>
    </w:p>
    <w:p w14:paraId="19C19261" w14:textId="77777777" w:rsidR="009C10B1" w:rsidRPr="009C10B1" w:rsidRDefault="009C10B1" w:rsidP="009C10B1">
      <w:pPr>
        <w:spacing w:line="480" w:lineRule="auto"/>
        <w:rPr>
          <w:rFonts w:ascii="Calibri" w:hAnsi="Calibri" w:cs="Calibri"/>
          <w:color w:val="000000" w:themeColor="text1"/>
          <w:szCs w:val="24"/>
        </w:rPr>
      </w:pPr>
      <w:r w:rsidRPr="009C10B1">
        <w:rPr>
          <w:rFonts w:ascii="Calibri" w:hAnsi="Calibri" w:cs="Calibri"/>
          <w:color w:val="000000" w:themeColor="text1"/>
          <w:szCs w:val="24"/>
        </w:rPr>
        <w:t xml:space="preserve">Karatepe, O. M., &amp; </w:t>
      </w:r>
      <w:proofErr w:type="spellStart"/>
      <w:r w:rsidRPr="009C10B1">
        <w:rPr>
          <w:rFonts w:ascii="Calibri" w:hAnsi="Calibri" w:cs="Calibri"/>
          <w:color w:val="000000" w:themeColor="text1"/>
          <w:szCs w:val="24"/>
        </w:rPr>
        <w:t>Vatankhah</w:t>
      </w:r>
      <w:proofErr w:type="spellEnd"/>
      <w:r w:rsidRPr="009C10B1">
        <w:rPr>
          <w:rFonts w:ascii="Calibri" w:hAnsi="Calibri" w:cs="Calibri"/>
          <w:color w:val="000000" w:themeColor="text1"/>
          <w:szCs w:val="24"/>
        </w:rPr>
        <w:t xml:space="preserve">, S. (2014). The effects of high-performance work practices on perceived organizational support. </w:t>
      </w:r>
      <w:r w:rsidRPr="009C10B1">
        <w:rPr>
          <w:rFonts w:ascii="Calibri" w:hAnsi="Calibri" w:cs="Calibri"/>
          <w:i/>
          <w:iCs/>
          <w:color w:val="000000" w:themeColor="text1"/>
          <w:szCs w:val="24"/>
        </w:rPr>
        <w:t>International Journal of Contemporary Hospitality Management, 26</w:t>
      </w:r>
      <w:r w:rsidRPr="009C10B1">
        <w:rPr>
          <w:rFonts w:ascii="Calibri" w:hAnsi="Calibri" w:cs="Calibri"/>
          <w:color w:val="000000" w:themeColor="text1"/>
          <w:szCs w:val="24"/>
        </w:rPr>
        <w:t>(2), 212–231. https://doi.org/10.1108/IJCHM-06-2012-0097</w:t>
      </w:r>
    </w:p>
    <w:p w14:paraId="321941EB" w14:textId="77777777" w:rsidR="009C10B1" w:rsidRPr="009C10B1" w:rsidRDefault="009C10B1" w:rsidP="009C10B1">
      <w:pPr>
        <w:spacing w:line="480" w:lineRule="auto"/>
        <w:rPr>
          <w:rFonts w:ascii="Calibri" w:hAnsi="Calibri" w:cs="Calibri"/>
          <w:color w:val="000000" w:themeColor="text1"/>
          <w:szCs w:val="24"/>
        </w:rPr>
      </w:pPr>
      <w:r w:rsidRPr="009C10B1">
        <w:rPr>
          <w:rFonts w:ascii="Calibri" w:hAnsi="Calibri" w:cs="Calibri"/>
          <w:color w:val="000000" w:themeColor="text1"/>
          <w:szCs w:val="24"/>
        </w:rPr>
        <w:t xml:space="preserve">Kim, H., </w:t>
      </w:r>
      <w:proofErr w:type="spellStart"/>
      <w:r w:rsidRPr="009C10B1">
        <w:rPr>
          <w:rFonts w:ascii="Calibri" w:hAnsi="Calibri" w:cs="Calibri"/>
          <w:color w:val="000000" w:themeColor="text1"/>
          <w:szCs w:val="24"/>
        </w:rPr>
        <w:t>Im</w:t>
      </w:r>
      <w:proofErr w:type="spellEnd"/>
      <w:r w:rsidRPr="009C10B1">
        <w:rPr>
          <w:rFonts w:ascii="Calibri" w:hAnsi="Calibri" w:cs="Calibri"/>
          <w:color w:val="000000" w:themeColor="text1"/>
          <w:szCs w:val="24"/>
        </w:rPr>
        <w:t xml:space="preserve">, J., &amp; Qu, H. (2018). Exploring antecedents and consequences of job crafting. </w:t>
      </w:r>
      <w:r w:rsidRPr="009C10B1">
        <w:rPr>
          <w:rFonts w:ascii="Calibri" w:hAnsi="Calibri" w:cs="Calibri"/>
          <w:i/>
          <w:iCs/>
          <w:color w:val="000000" w:themeColor="text1"/>
          <w:szCs w:val="24"/>
        </w:rPr>
        <w:t>International Journal of Hospitality Management, 75</w:t>
      </w:r>
      <w:r w:rsidRPr="009C10B1">
        <w:rPr>
          <w:rFonts w:ascii="Calibri" w:hAnsi="Calibri" w:cs="Calibri"/>
          <w:color w:val="000000" w:themeColor="text1"/>
          <w:szCs w:val="24"/>
        </w:rPr>
        <w:t>, 18–26. https://doi.org/10.1016/j.ijhm.2018.02.014</w:t>
      </w:r>
    </w:p>
    <w:p w14:paraId="0E02B46F" w14:textId="77777777" w:rsidR="009C10B1" w:rsidRPr="009C10B1" w:rsidRDefault="009C10B1" w:rsidP="009C10B1">
      <w:pPr>
        <w:spacing w:line="480" w:lineRule="auto"/>
        <w:rPr>
          <w:rFonts w:ascii="Calibri" w:hAnsi="Calibri" w:cs="Calibri"/>
          <w:color w:val="000000" w:themeColor="text1"/>
          <w:szCs w:val="24"/>
        </w:rPr>
      </w:pPr>
      <w:r w:rsidRPr="009C10B1">
        <w:rPr>
          <w:rFonts w:ascii="Calibri" w:hAnsi="Calibri" w:cs="Calibri"/>
          <w:color w:val="000000" w:themeColor="text1"/>
          <w:szCs w:val="24"/>
        </w:rPr>
        <w:t xml:space="preserve">Lee, J., &amp; Ok, C. (2012). Reducing burnout and enhancing job satisfaction. </w:t>
      </w:r>
      <w:r w:rsidRPr="009C10B1">
        <w:rPr>
          <w:rFonts w:ascii="Calibri" w:hAnsi="Calibri" w:cs="Calibri"/>
          <w:i/>
          <w:iCs/>
          <w:color w:val="000000" w:themeColor="text1"/>
          <w:szCs w:val="24"/>
        </w:rPr>
        <w:t>International Journal of Hospitality Management, 31</w:t>
      </w:r>
      <w:r w:rsidRPr="009C10B1">
        <w:rPr>
          <w:rFonts w:ascii="Calibri" w:hAnsi="Calibri" w:cs="Calibri"/>
          <w:color w:val="000000" w:themeColor="text1"/>
          <w:szCs w:val="24"/>
        </w:rPr>
        <w:t>(4), 1101–1111. https://doi.org/10.1016/j.ijhm.2012.01.003</w:t>
      </w:r>
    </w:p>
    <w:p w14:paraId="18D0B48F" w14:textId="77777777" w:rsidR="009C10B1" w:rsidRPr="009C10B1" w:rsidRDefault="009C10B1" w:rsidP="009C10B1">
      <w:pPr>
        <w:spacing w:line="480" w:lineRule="auto"/>
        <w:rPr>
          <w:rFonts w:ascii="Calibri" w:hAnsi="Calibri" w:cs="Calibri"/>
          <w:color w:val="000000" w:themeColor="text1"/>
          <w:szCs w:val="24"/>
        </w:rPr>
      </w:pPr>
      <w:r w:rsidRPr="009C10B1">
        <w:rPr>
          <w:rFonts w:ascii="Calibri" w:hAnsi="Calibri" w:cs="Calibri"/>
          <w:color w:val="000000" w:themeColor="text1"/>
          <w:szCs w:val="24"/>
        </w:rPr>
        <w:t xml:space="preserve">Schaufeli, W. B., </w:t>
      </w:r>
      <w:proofErr w:type="spellStart"/>
      <w:r w:rsidRPr="009C10B1">
        <w:rPr>
          <w:rFonts w:ascii="Calibri" w:hAnsi="Calibri" w:cs="Calibri"/>
          <w:color w:val="000000" w:themeColor="text1"/>
          <w:szCs w:val="24"/>
        </w:rPr>
        <w:t>Salanova</w:t>
      </w:r>
      <w:proofErr w:type="spellEnd"/>
      <w:r w:rsidRPr="009C10B1">
        <w:rPr>
          <w:rFonts w:ascii="Calibri" w:hAnsi="Calibri" w:cs="Calibri"/>
          <w:color w:val="000000" w:themeColor="text1"/>
          <w:szCs w:val="24"/>
        </w:rPr>
        <w:t>, M., González-</w:t>
      </w:r>
      <w:proofErr w:type="spellStart"/>
      <w:r w:rsidRPr="009C10B1">
        <w:rPr>
          <w:rFonts w:ascii="Calibri" w:hAnsi="Calibri" w:cs="Calibri"/>
          <w:color w:val="000000" w:themeColor="text1"/>
          <w:szCs w:val="24"/>
        </w:rPr>
        <w:t>Romá</w:t>
      </w:r>
      <w:proofErr w:type="spellEnd"/>
      <w:r w:rsidRPr="009C10B1">
        <w:rPr>
          <w:rFonts w:ascii="Calibri" w:hAnsi="Calibri" w:cs="Calibri"/>
          <w:color w:val="000000" w:themeColor="text1"/>
          <w:szCs w:val="24"/>
        </w:rPr>
        <w:t xml:space="preserve">, V., &amp; Bakker, A. B. (2002). The measurement of engagement and burnout. </w:t>
      </w:r>
      <w:r w:rsidRPr="009C10B1">
        <w:rPr>
          <w:rFonts w:ascii="Calibri" w:hAnsi="Calibri" w:cs="Calibri"/>
          <w:i/>
          <w:iCs/>
          <w:color w:val="000000" w:themeColor="text1"/>
          <w:szCs w:val="24"/>
        </w:rPr>
        <w:t>Journal of Happiness Studies, 3</w:t>
      </w:r>
      <w:r w:rsidRPr="009C10B1">
        <w:rPr>
          <w:rFonts w:ascii="Calibri" w:hAnsi="Calibri" w:cs="Calibri"/>
          <w:color w:val="000000" w:themeColor="text1"/>
          <w:szCs w:val="24"/>
        </w:rPr>
        <w:t>(1), 71–92. https://doi.org/10.1023/A:1015630930326</w:t>
      </w:r>
    </w:p>
    <w:p w14:paraId="19AB8833" w14:textId="77777777" w:rsidR="009C10B1" w:rsidRPr="009C10B1" w:rsidRDefault="009C10B1" w:rsidP="009C10B1">
      <w:pPr>
        <w:spacing w:line="480" w:lineRule="auto"/>
        <w:rPr>
          <w:rFonts w:ascii="Calibri" w:hAnsi="Calibri" w:cs="Calibri"/>
          <w:color w:val="000000" w:themeColor="text1"/>
          <w:szCs w:val="24"/>
        </w:rPr>
      </w:pPr>
      <w:r w:rsidRPr="009C10B1">
        <w:rPr>
          <w:rFonts w:ascii="Calibri" w:hAnsi="Calibri" w:cs="Calibri"/>
          <w:color w:val="000000" w:themeColor="text1"/>
          <w:szCs w:val="24"/>
        </w:rPr>
        <w:lastRenderedPageBreak/>
        <w:t xml:space="preserve">Saks, A. M. (2006). Antecedents and consequences of employee engagement. </w:t>
      </w:r>
      <w:r w:rsidRPr="009C10B1">
        <w:rPr>
          <w:rFonts w:ascii="Calibri" w:hAnsi="Calibri" w:cs="Calibri"/>
          <w:i/>
          <w:iCs/>
          <w:color w:val="000000" w:themeColor="text1"/>
          <w:szCs w:val="24"/>
        </w:rPr>
        <w:t>Journal of Managerial Psychology, 21</w:t>
      </w:r>
      <w:r w:rsidRPr="009C10B1">
        <w:rPr>
          <w:rFonts w:ascii="Calibri" w:hAnsi="Calibri" w:cs="Calibri"/>
          <w:color w:val="000000" w:themeColor="text1"/>
          <w:szCs w:val="24"/>
        </w:rPr>
        <w:t xml:space="preserve">(7), 600–619. </w:t>
      </w:r>
      <w:hyperlink r:id="rId12" w:tgtFrame="_new" w:history="1">
        <w:r w:rsidRPr="009C10B1">
          <w:rPr>
            <w:rStyle w:val="Hyperlink"/>
            <w:rFonts w:ascii="Calibri" w:hAnsi="Calibri" w:cs="Calibri"/>
            <w:szCs w:val="24"/>
          </w:rPr>
          <w:t>https://doi.org/10.1108/02683940610690169</w:t>
        </w:r>
      </w:hyperlink>
    </w:p>
    <w:p w14:paraId="09E2D2E7" w14:textId="77777777" w:rsidR="006664D5" w:rsidRDefault="006664D5" w:rsidP="009C10B1">
      <w:pPr>
        <w:spacing w:line="480" w:lineRule="auto"/>
      </w:pPr>
    </w:p>
    <w:sectPr w:rsidR="006664D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4D5"/>
    <w:rsid w:val="00084F09"/>
    <w:rsid w:val="00104708"/>
    <w:rsid w:val="00192A19"/>
    <w:rsid w:val="003C35D5"/>
    <w:rsid w:val="006664D5"/>
    <w:rsid w:val="008E77E5"/>
    <w:rsid w:val="00952784"/>
    <w:rsid w:val="009C10B1"/>
    <w:rsid w:val="00A32DCC"/>
    <w:rsid w:val="00F36D51"/>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3DB9E"/>
  <w15:chartTrackingRefBased/>
  <w15:docId w15:val="{DBA0DF96-8203-4150-916A-4697307C2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4D5"/>
  </w:style>
  <w:style w:type="paragraph" w:styleId="Heading1">
    <w:name w:val="heading 1"/>
    <w:basedOn w:val="Normal"/>
    <w:next w:val="Normal"/>
    <w:link w:val="Heading1Char"/>
    <w:uiPriority w:val="9"/>
    <w:qFormat/>
    <w:rsid w:val="006664D5"/>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6664D5"/>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6664D5"/>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6664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64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64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64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64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64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64D5"/>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6664D5"/>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6664D5"/>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6664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64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64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64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64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64D5"/>
    <w:rPr>
      <w:rFonts w:eastAsiaTheme="majorEastAsia" w:cstheme="majorBidi"/>
      <w:color w:val="272727" w:themeColor="text1" w:themeTint="D8"/>
    </w:rPr>
  </w:style>
  <w:style w:type="paragraph" w:styleId="Title">
    <w:name w:val="Title"/>
    <w:basedOn w:val="Normal"/>
    <w:next w:val="Normal"/>
    <w:link w:val="TitleChar"/>
    <w:uiPriority w:val="10"/>
    <w:qFormat/>
    <w:rsid w:val="006664D5"/>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6664D5"/>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6664D5"/>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6664D5"/>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6664D5"/>
    <w:pPr>
      <w:spacing w:before="160"/>
      <w:jc w:val="center"/>
    </w:pPr>
    <w:rPr>
      <w:i/>
      <w:iCs/>
      <w:color w:val="404040" w:themeColor="text1" w:themeTint="BF"/>
    </w:rPr>
  </w:style>
  <w:style w:type="character" w:customStyle="1" w:styleId="QuoteChar">
    <w:name w:val="Quote Char"/>
    <w:basedOn w:val="DefaultParagraphFont"/>
    <w:link w:val="Quote"/>
    <w:uiPriority w:val="29"/>
    <w:rsid w:val="006664D5"/>
    <w:rPr>
      <w:i/>
      <w:iCs/>
      <w:color w:val="404040" w:themeColor="text1" w:themeTint="BF"/>
    </w:rPr>
  </w:style>
  <w:style w:type="paragraph" w:styleId="ListParagraph">
    <w:name w:val="List Paragraph"/>
    <w:basedOn w:val="Normal"/>
    <w:uiPriority w:val="34"/>
    <w:qFormat/>
    <w:rsid w:val="006664D5"/>
    <w:pPr>
      <w:ind w:left="720"/>
      <w:contextualSpacing/>
    </w:pPr>
  </w:style>
  <w:style w:type="character" w:styleId="IntenseEmphasis">
    <w:name w:val="Intense Emphasis"/>
    <w:basedOn w:val="DefaultParagraphFont"/>
    <w:uiPriority w:val="21"/>
    <w:qFormat/>
    <w:rsid w:val="006664D5"/>
    <w:rPr>
      <w:i/>
      <w:iCs/>
      <w:color w:val="0F4761" w:themeColor="accent1" w:themeShade="BF"/>
    </w:rPr>
  </w:style>
  <w:style w:type="paragraph" w:styleId="IntenseQuote">
    <w:name w:val="Intense Quote"/>
    <w:basedOn w:val="Normal"/>
    <w:next w:val="Normal"/>
    <w:link w:val="IntenseQuoteChar"/>
    <w:uiPriority w:val="30"/>
    <w:qFormat/>
    <w:rsid w:val="006664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64D5"/>
    <w:rPr>
      <w:i/>
      <w:iCs/>
      <w:color w:val="0F4761" w:themeColor="accent1" w:themeShade="BF"/>
    </w:rPr>
  </w:style>
  <w:style w:type="character" w:styleId="IntenseReference">
    <w:name w:val="Intense Reference"/>
    <w:basedOn w:val="DefaultParagraphFont"/>
    <w:uiPriority w:val="32"/>
    <w:qFormat/>
    <w:rsid w:val="006664D5"/>
    <w:rPr>
      <w:b/>
      <w:bCs/>
      <w:smallCaps/>
      <w:color w:val="0F4761" w:themeColor="accent1" w:themeShade="BF"/>
      <w:spacing w:val="5"/>
    </w:rPr>
  </w:style>
  <w:style w:type="paragraph" w:styleId="TOCHeading">
    <w:name w:val="TOC Heading"/>
    <w:basedOn w:val="Heading1"/>
    <w:next w:val="Normal"/>
    <w:uiPriority w:val="39"/>
    <w:unhideWhenUsed/>
    <w:qFormat/>
    <w:rsid w:val="006664D5"/>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6664D5"/>
    <w:pPr>
      <w:spacing w:after="100"/>
    </w:pPr>
  </w:style>
  <w:style w:type="character" w:styleId="Hyperlink">
    <w:name w:val="Hyperlink"/>
    <w:basedOn w:val="DefaultParagraphFont"/>
    <w:uiPriority w:val="99"/>
    <w:unhideWhenUsed/>
    <w:rsid w:val="006664D5"/>
    <w:rPr>
      <w:color w:val="467886" w:themeColor="hyperlink"/>
      <w:u w:val="single"/>
    </w:rPr>
  </w:style>
  <w:style w:type="character" w:styleId="UnresolvedMention">
    <w:name w:val="Unresolved Mention"/>
    <w:basedOn w:val="DefaultParagraphFont"/>
    <w:uiPriority w:val="99"/>
    <w:semiHidden/>
    <w:unhideWhenUsed/>
    <w:rsid w:val="009C10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leaqua.2018.07.004"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111/j.1748-8583.2005.tb00154.x" TargetMode="External"/><Relationship Id="rId12" Type="http://schemas.openxmlformats.org/officeDocument/2006/relationships/hyperlink" Target="https://doi.org/10.1108/0268394061069016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08/02683940710733115" TargetMode="External"/><Relationship Id="rId11" Type="http://schemas.openxmlformats.org/officeDocument/2006/relationships/hyperlink" Target="https://doi.org/10.1037/apl0000103" TargetMode="External"/><Relationship Id="rId5" Type="http://schemas.openxmlformats.org/officeDocument/2006/relationships/image" Target="media/image2.png"/><Relationship Id="rId10" Type="http://schemas.openxmlformats.org/officeDocument/2006/relationships/hyperlink" Target="https://doi.org/10.1037/0021-9010.87.2.268" TargetMode="External"/><Relationship Id="rId4" Type="http://schemas.openxmlformats.org/officeDocument/2006/relationships/image" Target="media/image1.png"/><Relationship Id="rId9" Type="http://schemas.openxmlformats.org/officeDocument/2006/relationships/hyperlink" Target="https://doi.org/10.1037/1065-9293.58.3.12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36</Pages>
  <Words>7189</Words>
  <Characters>40981</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1</cp:revision>
  <dcterms:created xsi:type="dcterms:W3CDTF">2026-02-06T02:23:00Z</dcterms:created>
  <dcterms:modified xsi:type="dcterms:W3CDTF">2026-02-06T03:32:00Z</dcterms:modified>
</cp:coreProperties>
</file>