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2EBB8" w14:textId="77777777" w:rsidR="00884F64" w:rsidRDefault="00884F64" w:rsidP="00884F64">
      <w:pPr>
        <w:jc w:val="center"/>
        <w:rPr>
          <w:rFonts w:ascii="Times New Roman" w:hAnsi="Times New Roman" w:cs="Times New Roman"/>
          <w:b/>
          <w:bCs/>
        </w:rPr>
      </w:pPr>
      <w:r w:rsidRPr="00884F64">
        <w:rPr>
          <w:rFonts w:ascii="Times New Roman" w:hAnsi="Times New Roman" w:cs="Times New Roman"/>
          <w:b/>
          <w:bCs/>
        </w:rPr>
        <w:drawing>
          <wp:inline distT="0" distB="0" distL="0" distR="0" wp14:anchorId="3FEDE56B" wp14:editId="24871F67">
            <wp:extent cx="2238687" cy="495369"/>
            <wp:effectExtent l="0" t="0" r="9525" b="0"/>
            <wp:docPr id="1923368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3368902" name=""/>
                    <pic:cNvPicPr/>
                  </pic:nvPicPr>
                  <pic:blipFill>
                    <a:blip r:embed="rId5"/>
                    <a:stretch>
                      <a:fillRect/>
                    </a:stretch>
                  </pic:blipFill>
                  <pic:spPr>
                    <a:xfrm>
                      <a:off x="0" y="0"/>
                      <a:ext cx="2238687" cy="495369"/>
                    </a:xfrm>
                    <a:prstGeom prst="rect">
                      <a:avLst/>
                    </a:prstGeom>
                  </pic:spPr>
                </pic:pic>
              </a:graphicData>
            </a:graphic>
          </wp:inline>
        </w:drawing>
      </w:r>
    </w:p>
    <w:p w14:paraId="3B05A1A4" w14:textId="6ECC6A9D" w:rsidR="00884F64" w:rsidRPr="00884F64" w:rsidRDefault="00884F64" w:rsidP="00884F64">
      <w:pPr>
        <w:jc w:val="center"/>
        <w:rPr>
          <w:rFonts w:ascii="Times New Roman" w:hAnsi="Times New Roman" w:cs="Times New Roman"/>
          <w:b/>
          <w:bCs/>
        </w:rPr>
      </w:pPr>
      <w:r w:rsidRPr="00884F64">
        <w:rPr>
          <w:rFonts w:ascii="Times New Roman" w:hAnsi="Times New Roman" w:cs="Times New Roman"/>
          <w:b/>
          <w:bCs/>
        </w:rPr>
        <w:t>Information Systems and Technologies</w:t>
      </w:r>
    </w:p>
    <w:p w14:paraId="6216DF53" w14:textId="77777777" w:rsidR="00884F64" w:rsidRPr="00884F64" w:rsidRDefault="00884F64" w:rsidP="00884F64">
      <w:pPr>
        <w:jc w:val="center"/>
        <w:rPr>
          <w:rFonts w:ascii="Times New Roman" w:hAnsi="Times New Roman" w:cs="Times New Roman"/>
          <w:b/>
          <w:bCs/>
        </w:rPr>
      </w:pPr>
      <w:r w:rsidRPr="00884F64">
        <w:rPr>
          <w:rFonts w:ascii="Times New Roman" w:hAnsi="Times New Roman" w:cs="Times New Roman"/>
          <w:b/>
          <w:bCs/>
        </w:rPr>
        <w:t>Detailed Digital Systems Evaluation &amp; Implementation Report</w:t>
      </w:r>
    </w:p>
    <w:p w14:paraId="22826FAF" w14:textId="77777777" w:rsidR="00884F64" w:rsidRDefault="00884F64" w:rsidP="00884F64">
      <w:pPr>
        <w:jc w:val="center"/>
        <w:rPr>
          <w:rFonts w:ascii="Times New Roman" w:hAnsi="Times New Roman" w:cs="Times New Roman"/>
          <w:b/>
          <w:bCs/>
        </w:rPr>
      </w:pPr>
      <w:r w:rsidRPr="00884F64">
        <w:rPr>
          <w:rFonts w:ascii="Times New Roman" w:hAnsi="Times New Roman" w:cs="Times New Roman"/>
          <w:b/>
          <w:bCs/>
        </w:rPr>
        <w:t>Telemedicine, Remote Patient Monitoring, and Digital Care Delivery: A Scalable Strategy for Transforming Healthcare Service Management and Patient Access</w:t>
      </w:r>
    </w:p>
    <w:p w14:paraId="374FBDB8" w14:textId="77777777" w:rsidR="00884F64" w:rsidRDefault="00884F64" w:rsidP="00884F64">
      <w:pPr>
        <w:jc w:val="center"/>
        <w:rPr>
          <w:rFonts w:ascii="Times New Roman" w:hAnsi="Times New Roman" w:cs="Times New Roman"/>
          <w:b/>
          <w:bCs/>
        </w:rPr>
      </w:pPr>
    </w:p>
    <w:p w14:paraId="46873D51" w14:textId="77777777" w:rsidR="00884F64" w:rsidRDefault="00884F64" w:rsidP="00884F64">
      <w:pPr>
        <w:jc w:val="center"/>
        <w:rPr>
          <w:rFonts w:ascii="Times New Roman" w:hAnsi="Times New Roman" w:cs="Times New Roman"/>
          <w:b/>
          <w:bCs/>
        </w:rPr>
      </w:pPr>
    </w:p>
    <w:p w14:paraId="64E80540" w14:textId="77777777" w:rsidR="00884F64" w:rsidRDefault="00884F64" w:rsidP="00884F64">
      <w:pPr>
        <w:jc w:val="center"/>
        <w:rPr>
          <w:rFonts w:ascii="Times New Roman" w:hAnsi="Times New Roman" w:cs="Times New Roman"/>
          <w:b/>
          <w:bCs/>
        </w:rPr>
      </w:pPr>
    </w:p>
    <w:p w14:paraId="0C2A0C5F" w14:textId="77777777" w:rsidR="00884F64" w:rsidRDefault="00884F64" w:rsidP="00884F64">
      <w:pPr>
        <w:jc w:val="center"/>
        <w:rPr>
          <w:rFonts w:ascii="Times New Roman" w:hAnsi="Times New Roman" w:cs="Times New Roman"/>
          <w:b/>
          <w:bCs/>
        </w:rPr>
      </w:pPr>
    </w:p>
    <w:p w14:paraId="7DD3CBE9" w14:textId="77777777" w:rsidR="00884F64" w:rsidRDefault="00884F64" w:rsidP="00884F64">
      <w:pPr>
        <w:jc w:val="center"/>
        <w:rPr>
          <w:rFonts w:ascii="Times New Roman" w:hAnsi="Times New Roman" w:cs="Times New Roman"/>
          <w:b/>
          <w:bCs/>
        </w:rPr>
      </w:pPr>
    </w:p>
    <w:p w14:paraId="31EE6472" w14:textId="77777777" w:rsidR="00884F64" w:rsidRDefault="00884F64" w:rsidP="00884F64">
      <w:pPr>
        <w:jc w:val="center"/>
        <w:rPr>
          <w:rFonts w:ascii="Times New Roman" w:hAnsi="Times New Roman" w:cs="Times New Roman"/>
          <w:b/>
          <w:bCs/>
        </w:rPr>
      </w:pPr>
    </w:p>
    <w:p w14:paraId="371A7EA8" w14:textId="77777777" w:rsidR="00884F64" w:rsidRDefault="00884F64" w:rsidP="00884F64">
      <w:pPr>
        <w:jc w:val="center"/>
        <w:rPr>
          <w:rFonts w:ascii="Times New Roman" w:hAnsi="Times New Roman" w:cs="Times New Roman"/>
          <w:b/>
          <w:bCs/>
        </w:rPr>
      </w:pPr>
    </w:p>
    <w:p w14:paraId="6FB2CFD5" w14:textId="77777777" w:rsidR="00884F64" w:rsidRDefault="00884F64" w:rsidP="00884F64">
      <w:pPr>
        <w:jc w:val="center"/>
        <w:rPr>
          <w:rFonts w:ascii="Times New Roman" w:hAnsi="Times New Roman" w:cs="Times New Roman"/>
          <w:b/>
          <w:bCs/>
        </w:rPr>
      </w:pPr>
    </w:p>
    <w:p w14:paraId="480D5FCF" w14:textId="77777777" w:rsidR="00884F64" w:rsidRDefault="00884F64" w:rsidP="00884F64">
      <w:pPr>
        <w:jc w:val="center"/>
        <w:rPr>
          <w:rFonts w:ascii="Times New Roman" w:hAnsi="Times New Roman" w:cs="Times New Roman"/>
          <w:b/>
          <w:bCs/>
        </w:rPr>
      </w:pPr>
    </w:p>
    <w:p w14:paraId="52306EFB" w14:textId="77777777" w:rsidR="00884F64" w:rsidRDefault="00884F64" w:rsidP="00884F64">
      <w:pPr>
        <w:jc w:val="center"/>
        <w:rPr>
          <w:rFonts w:ascii="Times New Roman" w:hAnsi="Times New Roman" w:cs="Times New Roman"/>
          <w:b/>
          <w:bCs/>
        </w:rPr>
      </w:pPr>
    </w:p>
    <w:p w14:paraId="57F29233" w14:textId="77777777" w:rsidR="00884F64" w:rsidRDefault="00884F64" w:rsidP="00884F64">
      <w:pPr>
        <w:jc w:val="center"/>
        <w:rPr>
          <w:rFonts w:ascii="Times New Roman" w:hAnsi="Times New Roman" w:cs="Times New Roman"/>
          <w:b/>
          <w:bCs/>
        </w:rPr>
      </w:pPr>
    </w:p>
    <w:p w14:paraId="108A4CC7" w14:textId="77777777" w:rsidR="00884F64" w:rsidRDefault="00884F64" w:rsidP="00884F64">
      <w:pPr>
        <w:jc w:val="center"/>
        <w:rPr>
          <w:rFonts w:ascii="Times New Roman" w:hAnsi="Times New Roman" w:cs="Times New Roman"/>
          <w:b/>
          <w:bCs/>
        </w:rPr>
      </w:pPr>
    </w:p>
    <w:p w14:paraId="13573C64" w14:textId="77777777" w:rsidR="00884F64" w:rsidRDefault="00884F64" w:rsidP="00884F64">
      <w:pPr>
        <w:jc w:val="center"/>
        <w:rPr>
          <w:rFonts w:ascii="Times New Roman" w:hAnsi="Times New Roman" w:cs="Times New Roman"/>
          <w:b/>
          <w:bCs/>
        </w:rPr>
      </w:pPr>
    </w:p>
    <w:p w14:paraId="69970FAC" w14:textId="77777777" w:rsidR="00884F64" w:rsidRDefault="00884F64" w:rsidP="00884F64">
      <w:pPr>
        <w:jc w:val="center"/>
        <w:rPr>
          <w:rFonts w:ascii="Times New Roman" w:hAnsi="Times New Roman" w:cs="Times New Roman"/>
          <w:b/>
          <w:bCs/>
        </w:rPr>
      </w:pPr>
    </w:p>
    <w:p w14:paraId="54F36D47" w14:textId="77777777" w:rsidR="00884F64" w:rsidRDefault="00884F64" w:rsidP="00884F64">
      <w:pPr>
        <w:jc w:val="center"/>
        <w:rPr>
          <w:rFonts w:ascii="Times New Roman" w:hAnsi="Times New Roman" w:cs="Times New Roman"/>
          <w:b/>
          <w:bCs/>
        </w:rPr>
      </w:pPr>
    </w:p>
    <w:p w14:paraId="2D732F69" w14:textId="77777777" w:rsidR="00884F64" w:rsidRDefault="00884F64" w:rsidP="00884F64">
      <w:pPr>
        <w:jc w:val="center"/>
        <w:rPr>
          <w:rFonts w:ascii="Times New Roman" w:hAnsi="Times New Roman" w:cs="Times New Roman"/>
          <w:b/>
          <w:bCs/>
        </w:rPr>
      </w:pPr>
    </w:p>
    <w:p w14:paraId="7D4B77EA" w14:textId="77777777" w:rsidR="00884F64" w:rsidRDefault="00884F64" w:rsidP="00884F64">
      <w:pPr>
        <w:jc w:val="center"/>
        <w:rPr>
          <w:rFonts w:ascii="Times New Roman" w:hAnsi="Times New Roman" w:cs="Times New Roman"/>
          <w:b/>
          <w:bCs/>
        </w:rPr>
      </w:pPr>
    </w:p>
    <w:p w14:paraId="7BC840FB" w14:textId="77777777" w:rsidR="00884F64" w:rsidRDefault="00884F64" w:rsidP="00884F64">
      <w:pPr>
        <w:jc w:val="center"/>
        <w:rPr>
          <w:rFonts w:ascii="Times New Roman" w:hAnsi="Times New Roman" w:cs="Times New Roman"/>
          <w:b/>
          <w:bCs/>
        </w:rPr>
      </w:pPr>
    </w:p>
    <w:p w14:paraId="489D0166" w14:textId="77777777" w:rsidR="00884F64" w:rsidRDefault="00884F64" w:rsidP="00884F64">
      <w:pPr>
        <w:jc w:val="center"/>
        <w:rPr>
          <w:rFonts w:ascii="Times New Roman" w:hAnsi="Times New Roman" w:cs="Times New Roman"/>
          <w:b/>
          <w:bCs/>
        </w:rPr>
      </w:pPr>
    </w:p>
    <w:p w14:paraId="4AFB0272" w14:textId="77777777" w:rsidR="00884F64" w:rsidRDefault="00884F64" w:rsidP="00884F64">
      <w:pPr>
        <w:jc w:val="center"/>
        <w:rPr>
          <w:rFonts w:ascii="Times New Roman" w:hAnsi="Times New Roman" w:cs="Times New Roman"/>
          <w:b/>
          <w:bCs/>
        </w:rPr>
      </w:pPr>
    </w:p>
    <w:p w14:paraId="126F6644" w14:textId="77777777" w:rsidR="00884F64" w:rsidRDefault="00884F64" w:rsidP="00884F64">
      <w:pPr>
        <w:jc w:val="center"/>
        <w:rPr>
          <w:rFonts w:ascii="Times New Roman" w:hAnsi="Times New Roman" w:cs="Times New Roman"/>
          <w:b/>
          <w:bCs/>
        </w:rPr>
      </w:pPr>
    </w:p>
    <w:p w14:paraId="02C8D64E"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lastRenderedPageBreak/>
        <w:t>Table of Contents</w:t>
      </w:r>
    </w:p>
    <w:p w14:paraId="6DD21FDC" w14:textId="77777777" w:rsidR="00884F64" w:rsidRPr="00884F64" w:rsidRDefault="00884F64" w:rsidP="00884F64">
      <w:pPr>
        <w:numPr>
          <w:ilvl w:val="0"/>
          <w:numId w:val="11"/>
        </w:numPr>
        <w:rPr>
          <w:rFonts w:ascii="Times New Roman" w:hAnsi="Times New Roman" w:cs="Times New Roman"/>
        </w:rPr>
      </w:pPr>
      <w:r w:rsidRPr="00884F64">
        <w:rPr>
          <w:rFonts w:ascii="Times New Roman" w:hAnsi="Times New Roman" w:cs="Times New Roman"/>
        </w:rPr>
        <w:t xml:space="preserve">Abstract </w:t>
      </w:r>
    </w:p>
    <w:p w14:paraId="311D3D9A" w14:textId="77777777" w:rsidR="00884F64" w:rsidRPr="00884F64" w:rsidRDefault="00884F64" w:rsidP="00884F64">
      <w:pPr>
        <w:numPr>
          <w:ilvl w:val="0"/>
          <w:numId w:val="11"/>
        </w:numPr>
        <w:rPr>
          <w:rFonts w:ascii="Times New Roman" w:hAnsi="Times New Roman" w:cs="Times New Roman"/>
        </w:rPr>
      </w:pPr>
      <w:r w:rsidRPr="00884F64">
        <w:rPr>
          <w:rFonts w:ascii="Times New Roman" w:hAnsi="Times New Roman" w:cs="Times New Roman"/>
        </w:rPr>
        <w:t xml:space="preserve">Introduction </w:t>
      </w:r>
    </w:p>
    <w:p w14:paraId="49D0FF1B" w14:textId="77777777" w:rsidR="00884F64" w:rsidRPr="00884F64" w:rsidRDefault="00884F64" w:rsidP="00884F64">
      <w:pPr>
        <w:numPr>
          <w:ilvl w:val="0"/>
          <w:numId w:val="11"/>
        </w:numPr>
        <w:rPr>
          <w:rFonts w:ascii="Times New Roman" w:hAnsi="Times New Roman" w:cs="Times New Roman"/>
        </w:rPr>
      </w:pPr>
      <w:r w:rsidRPr="00884F64">
        <w:rPr>
          <w:rFonts w:ascii="Times New Roman" w:hAnsi="Times New Roman" w:cs="Times New Roman"/>
        </w:rPr>
        <w:t>Literature Review</w:t>
      </w:r>
      <w:r w:rsidRPr="00884F64">
        <w:rPr>
          <w:rFonts w:ascii="Times New Roman" w:hAnsi="Times New Roman" w:cs="Times New Roman"/>
        </w:rPr>
        <w:br/>
        <w:t>3.1 Digital Transformation and Virtual Healthcare</w:t>
      </w:r>
      <w:r w:rsidRPr="00884F64">
        <w:rPr>
          <w:rFonts w:ascii="Times New Roman" w:hAnsi="Times New Roman" w:cs="Times New Roman"/>
        </w:rPr>
        <w:br/>
        <w:t>3.2 Telemedicine and Virtual Consultation Platforms</w:t>
      </w:r>
      <w:r w:rsidRPr="00884F64">
        <w:rPr>
          <w:rFonts w:ascii="Times New Roman" w:hAnsi="Times New Roman" w:cs="Times New Roman"/>
        </w:rPr>
        <w:br/>
        <w:t>3.3 Remote Patient Monitoring</w:t>
      </w:r>
      <w:r w:rsidRPr="00884F64">
        <w:rPr>
          <w:rFonts w:ascii="Times New Roman" w:hAnsi="Times New Roman" w:cs="Times New Roman"/>
        </w:rPr>
        <w:br/>
        <w:t>3.4 Internet of Medical Things and Wearable Technologies</w:t>
      </w:r>
      <w:r w:rsidRPr="00884F64">
        <w:rPr>
          <w:rFonts w:ascii="Times New Roman" w:hAnsi="Times New Roman" w:cs="Times New Roman"/>
        </w:rPr>
        <w:br/>
        <w:t>3.5 Patient-Facing Digital Tools</w:t>
      </w:r>
      <w:r w:rsidRPr="00884F64">
        <w:rPr>
          <w:rFonts w:ascii="Times New Roman" w:hAnsi="Times New Roman" w:cs="Times New Roman"/>
        </w:rPr>
        <w:br/>
        <w:t>3.6 Digital Care and Clinical Process Transformation</w:t>
      </w:r>
      <w:r w:rsidRPr="00884F64">
        <w:rPr>
          <w:rFonts w:ascii="Times New Roman" w:hAnsi="Times New Roman" w:cs="Times New Roman"/>
        </w:rPr>
        <w:br/>
        <w:t xml:space="preserve">3.7 Organisational and Human Adoption Barriers </w:t>
      </w:r>
    </w:p>
    <w:p w14:paraId="71D7978E" w14:textId="77777777" w:rsidR="00884F64" w:rsidRPr="00884F64" w:rsidRDefault="00884F64" w:rsidP="00884F64">
      <w:pPr>
        <w:numPr>
          <w:ilvl w:val="0"/>
          <w:numId w:val="11"/>
        </w:numPr>
        <w:rPr>
          <w:rFonts w:ascii="Times New Roman" w:hAnsi="Times New Roman" w:cs="Times New Roman"/>
        </w:rPr>
      </w:pPr>
      <w:r w:rsidRPr="00884F64">
        <w:rPr>
          <w:rFonts w:ascii="Times New Roman" w:hAnsi="Times New Roman" w:cs="Times New Roman"/>
        </w:rPr>
        <w:t xml:space="preserve">Methodology </w:t>
      </w:r>
    </w:p>
    <w:p w14:paraId="76DE203D" w14:textId="77777777" w:rsidR="00884F64" w:rsidRPr="00884F64" w:rsidRDefault="00884F64" w:rsidP="00884F64">
      <w:pPr>
        <w:numPr>
          <w:ilvl w:val="0"/>
          <w:numId w:val="11"/>
        </w:numPr>
        <w:rPr>
          <w:rFonts w:ascii="Times New Roman" w:hAnsi="Times New Roman" w:cs="Times New Roman"/>
        </w:rPr>
      </w:pPr>
      <w:r w:rsidRPr="00884F64">
        <w:rPr>
          <w:rFonts w:ascii="Times New Roman" w:hAnsi="Times New Roman" w:cs="Times New Roman"/>
        </w:rPr>
        <w:t>Findings</w:t>
      </w:r>
      <w:r w:rsidRPr="00884F64">
        <w:rPr>
          <w:rFonts w:ascii="Times New Roman" w:hAnsi="Times New Roman" w:cs="Times New Roman"/>
        </w:rPr>
        <w:br/>
        <w:t>5.1 Digital Care Technology Architecture</w:t>
      </w:r>
      <w:r w:rsidRPr="00884F64">
        <w:rPr>
          <w:rFonts w:ascii="Times New Roman" w:hAnsi="Times New Roman" w:cs="Times New Roman"/>
        </w:rPr>
        <w:br/>
        <w:t>5.2 Telemedicine and Resource Management</w:t>
      </w:r>
      <w:r w:rsidRPr="00884F64">
        <w:rPr>
          <w:rFonts w:ascii="Times New Roman" w:hAnsi="Times New Roman" w:cs="Times New Roman"/>
        </w:rPr>
        <w:br/>
        <w:t>5.3 RPM and Outpatient Monitoring</w:t>
      </w:r>
      <w:r w:rsidRPr="00884F64">
        <w:rPr>
          <w:rFonts w:ascii="Times New Roman" w:hAnsi="Times New Roman" w:cs="Times New Roman"/>
        </w:rPr>
        <w:br/>
        <w:t>5.4 Clinical and Operational Efficiency</w:t>
      </w:r>
      <w:r w:rsidRPr="00884F64">
        <w:rPr>
          <w:rFonts w:ascii="Times New Roman" w:hAnsi="Times New Roman" w:cs="Times New Roman"/>
        </w:rPr>
        <w:br/>
        <w:t>5.5 Financial Outcomes and Cost-Effectiveness</w:t>
      </w:r>
      <w:r w:rsidRPr="00884F64">
        <w:rPr>
          <w:rFonts w:ascii="Times New Roman" w:hAnsi="Times New Roman" w:cs="Times New Roman"/>
        </w:rPr>
        <w:br/>
        <w:t>5.6 Clinical Outcomes and Patient Satisfaction</w:t>
      </w:r>
      <w:r w:rsidRPr="00884F64">
        <w:rPr>
          <w:rFonts w:ascii="Times New Roman" w:hAnsi="Times New Roman" w:cs="Times New Roman"/>
        </w:rPr>
        <w:br/>
        <w:t xml:space="preserve">5.7 Practical Healthcare Cases </w:t>
      </w:r>
    </w:p>
    <w:p w14:paraId="4287B587" w14:textId="77777777" w:rsidR="00884F64" w:rsidRPr="00884F64" w:rsidRDefault="00884F64" w:rsidP="00884F64">
      <w:pPr>
        <w:numPr>
          <w:ilvl w:val="0"/>
          <w:numId w:val="11"/>
        </w:numPr>
        <w:rPr>
          <w:rFonts w:ascii="Times New Roman" w:hAnsi="Times New Roman" w:cs="Times New Roman"/>
        </w:rPr>
      </w:pPr>
      <w:r w:rsidRPr="00884F64">
        <w:rPr>
          <w:rFonts w:ascii="Times New Roman" w:hAnsi="Times New Roman" w:cs="Times New Roman"/>
        </w:rPr>
        <w:t>Discussion</w:t>
      </w:r>
      <w:r w:rsidRPr="00884F64">
        <w:rPr>
          <w:rFonts w:ascii="Times New Roman" w:hAnsi="Times New Roman" w:cs="Times New Roman"/>
        </w:rPr>
        <w:br/>
        <w:t>6.1 Strategic Evaluation of Digital Care Delivery</w:t>
      </w:r>
      <w:r w:rsidRPr="00884F64">
        <w:rPr>
          <w:rFonts w:ascii="Times New Roman" w:hAnsi="Times New Roman" w:cs="Times New Roman"/>
        </w:rPr>
        <w:br/>
        <w:t>6.2 Clinician Resistance and Workflow Redesign</w:t>
      </w:r>
      <w:r w:rsidRPr="00884F64">
        <w:rPr>
          <w:rFonts w:ascii="Times New Roman" w:hAnsi="Times New Roman" w:cs="Times New Roman"/>
        </w:rPr>
        <w:br/>
        <w:t>6.3 Digital Literacy and Equity</w:t>
      </w:r>
      <w:r w:rsidRPr="00884F64">
        <w:rPr>
          <w:rFonts w:ascii="Times New Roman" w:hAnsi="Times New Roman" w:cs="Times New Roman"/>
        </w:rPr>
        <w:br/>
        <w:t>6.4 Task Shifting and Workforce Transformation</w:t>
      </w:r>
      <w:r w:rsidRPr="00884F64">
        <w:rPr>
          <w:rFonts w:ascii="Times New Roman" w:hAnsi="Times New Roman" w:cs="Times New Roman"/>
        </w:rPr>
        <w:br/>
        <w:t>6.5 Cybersecurity, Privacy and Interoperability</w:t>
      </w:r>
      <w:r w:rsidRPr="00884F64">
        <w:rPr>
          <w:rFonts w:ascii="Times New Roman" w:hAnsi="Times New Roman" w:cs="Times New Roman"/>
        </w:rPr>
        <w:br/>
        <w:t>6.6 Scalable Strategy for a Mid-Sized Hospital</w:t>
      </w:r>
      <w:r w:rsidRPr="00884F64">
        <w:rPr>
          <w:rFonts w:ascii="Times New Roman" w:hAnsi="Times New Roman" w:cs="Times New Roman"/>
        </w:rPr>
        <w:br/>
        <w:t xml:space="preserve">6.7 Evaluation Framework </w:t>
      </w:r>
    </w:p>
    <w:p w14:paraId="6B4BCF23" w14:textId="77777777" w:rsidR="00884F64" w:rsidRPr="00884F64" w:rsidRDefault="00884F64" w:rsidP="00884F64">
      <w:pPr>
        <w:numPr>
          <w:ilvl w:val="0"/>
          <w:numId w:val="11"/>
        </w:numPr>
        <w:rPr>
          <w:rFonts w:ascii="Times New Roman" w:hAnsi="Times New Roman" w:cs="Times New Roman"/>
        </w:rPr>
      </w:pPr>
      <w:r w:rsidRPr="00884F64">
        <w:rPr>
          <w:rFonts w:ascii="Times New Roman" w:hAnsi="Times New Roman" w:cs="Times New Roman"/>
        </w:rPr>
        <w:t xml:space="preserve">Conclusion and Recommendations </w:t>
      </w:r>
    </w:p>
    <w:p w14:paraId="56565C69" w14:textId="77777777" w:rsidR="00884F64" w:rsidRPr="00884F64" w:rsidRDefault="00884F64" w:rsidP="00884F64">
      <w:pPr>
        <w:numPr>
          <w:ilvl w:val="0"/>
          <w:numId w:val="11"/>
        </w:numPr>
        <w:rPr>
          <w:rFonts w:ascii="Times New Roman" w:hAnsi="Times New Roman" w:cs="Times New Roman"/>
        </w:rPr>
      </w:pPr>
      <w:r w:rsidRPr="00884F64">
        <w:rPr>
          <w:rFonts w:ascii="Times New Roman" w:hAnsi="Times New Roman" w:cs="Times New Roman"/>
        </w:rPr>
        <w:t xml:space="preserve">References </w:t>
      </w:r>
    </w:p>
    <w:p w14:paraId="4A241B29" w14:textId="77777777" w:rsidR="00884F64" w:rsidRPr="00884F64" w:rsidRDefault="00884F64" w:rsidP="00884F64">
      <w:pPr>
        <w:numPr>
          <w:ilvl w:val="0"/>
          <w:numId w:val="11"/>
        </w:numPr>
        <w:rPr>
          <w:rFonts w:ascii="Times New Roman" w:hAnsi="Times New Roman" w:cs="Times New Roman"/>
        </w:rPr>
      </w:pPr>
      <w:r w:rsidRPr="00884F64">
        <w:rPr>
          <w:rFonts w:ascii="Times New Roman" w:hAnsi="Times New Roman" w:cs="Times New Roman"/>
        </w:rPr>
        <w:t>Appendices</w:t>
      </w:r>
    </w:p>
    <w:p w14:paraId="6632C6C3" w14:textId="5A31D248" w:rsidR="00884F64" w:rsidRDefault="00884F64" w:rsidP="00884F64">
      <w:pPr>
        <w:rPr>
          <w:rFonts w:ascii="Times New Roman" w:hAnsi="Times New Roman" w:cs="Times New Roman"/>
        </w:rPr>
      </w:pPr>
    </w:p>
    <w:p w14:paraId="3FEEB599" w14:textId="77777777" w:rsidR="00884F64" w:rsidRDefault="00884F64" w:rsidP="00884F64">
      <w:pPr>
        <w:rPr>
          <w:rFonts w:ascii="Times New Roman" w:hAnsi="Times New Roman" w:cs="Times New Roman"/>
        </w:rPr>
      </w:pPr>
    </w:p>
    <w:p w14:paraId="3DDBFE1E" w14:textId="77777777" w:rsidR="00884F64" w:rsidRPr="00884F64" w:rsidRDefault="00884F64" w:rsidP="00884F64">
      <w:pPr>
        <w:rPr>
          <w:rFonts w:ascii="Times New Roman" w:hAnsi="Times New Roman" w:cs="Times New Roman"/>
        </w:rPr>
      </w:pPr>
    </w:p>
    <w:p w14:paraId="450022FF"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lastRenderedPageBreak/>
        <w:t>1. Abstract</w:t>
      </w:r>
    </w:p>
    <w:p w14:paraId="314B69A7"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Telemedicine, Remote Patient Monitoring (RPM), Internet of Medical Things (IoMT) devices and patient-facing digital technologies are transforming healthcare by moving selected clinical activities beyond conventional hospital environments. This report critically evaluates the contribution of these technologies to healthcare service management, outpatient monitoring, clinical processes, financial outcomes, patient experience and accessibility. A structured review of peer-reviewed academic literature and healthcare implementation evidence is used to examine both benefits and implementation risks.</w:t>
      </w:r>
    </w:p>
    <w:p w14:paraId="3520FD6A" w14:textId="55DEBB42"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Evidence indicates that RPM can support earlier identification of deterioration and, in some contexts, reduce hospital use. A systematic review of 91 studies found reductions in admissions in 49% of studies reporting that outcome, reductions in length of stay in 49%, and reductions in emergency-department presentations in 41%; however, many remaining studies reported no significant change, demonstrating that outcomes depend strongly on condition, intervention and implementation model. A 2024 systematic review covering 29 studies from 16 countries similarly found promising but heterogeneous results across safety, adherence, quality of life and cost outcomes. </w:t>
      </w:r>
      <w:hyperlink r:id="rId6" w:history="1">
        <w:r>
          <w:rPr>
            <w:rStyle w:val="Hyperlink"/>
            <w:rFonts w:ascii="Times New Roman" w:hAnsi="Times New Roman" w:cs="Times New Roman"/>
          </w:rPr>
          <w:t xml:space="preserve"> </w:t>
        </w:r>
      </w:hyperlink>
    </w:p>
    <w:p w14:paraId="4DA6ABDD" w14:textId="642AE953"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The analysis identifies clinician resistance, digital literacy, technology access, workflow integration, task allocation, privacy, cybersecurity and interoperability as major implementation challenges. Economic evidence is also context-dependent: systematic reviews suggest RPM can be cost-effective for </w:t>
      </w:r>
      <w:proofErr w:type="gramStart"/>
      <w:r w:rsidRPr="00884F64">
        <w:rPr>
          <w:rFonts w:ascii="Times New Roman" w:hAnsi="Times New Roman" w:cs="Times New Roman"/>
        </w:rPr>
        <w:t>particular chronic</w:t>
      </w:r>
      <w:proofErr w:type="gramEnd"/>
      <w:r w:rsidRPr="00884F64">
        <w:rPr>
          <w:rFonts w:ascii="Times New Roman" w:hAnsi="Times New Roman" w:cs="Times New Roman"/>
        </w:rPr>
        <w:t xml:space="preserve"> conditions, but outcomes depend on capital costs, staffing, organisational processes and disease severity. </w:t>
      </w:r>
      <w:hyperlink r:id="rId7" w:history="1">
        <w:r>
          <w:rPr>
            <w:rStyle w:val="Hyperlink"/>
            <w:rFonts w:ascii="Times New Roman" w:hAnsi="Times New Roman" w:cs="Times New Roman"/>
          </w:rPr>
          <w:t xml:space="preserve">  </w:t>
        </w:r>
      </w:hyperlink>
    </w:p>
    <w:p w14:paraId="0E1C2DC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Consequently, this report proposes a phased digital-care model for a mid-sized hospital, beginning with carefully selected high-risk chronic-disease patients rather than an enterprise-wide rollout. The recommended architecture integrates teleconsultation, connected monitoring devices, a digital monitoring hub and the Electronic Health Record (EHR), supported by risk-based clinical escalation. Success should be evaluated through clinical, operational, financial, patient, workforce and digital-equity indicators.</w:t>
      </w:r>
    </w:p>
    <w:p w14:paraId="6A14113D" w14:textId="6821B61F" w:rsidR="00884F64" w:rsidRDefault="00884F64" w:rsidP="00884F64">
      <w:pPr>
        <w:rPr>
          <w:rFonts w:ascii="Times New Roman" w:hAnsi="Times New Roman" w:cs="Times New Roman"/>
        </w:rPr>
      </w:pPr>
    </w:p>
    <w:p w14:paraId="7A4C7268" w14:textId="77777777" w:rsidR="00884F64" w:rsidRDefault="00884F64" w:rsidP="00884F64">
      <w:pPr>
        <w:rPr>
          <w:rFonts w:ascii="Times New Roman" w:hAnsi="Times New Roman" w:cs="Times New Roman"/>
        </w:rPr>
      </w:pPr>
    </w:p>
    <w:p w14:paraId="3497D2AD" w14:textId="77777777" w:rsidR="00884F64" w:rsidRDefault="00884F64" w:rsidP="00884F64">
      <w:pPr>
        <w:rPr>
          <w:rFonts w:ascii="Times New Roman" w:hAnsi="Times New Roman" w:cs="Times New Roman"/>
        </w:rPr>
      </w:pPr>
    </w:p>
    <w:p w14:paraId="495A9C0C" w14:textId="77777777" w:rsidR="00884F64" w:rsidRDefault="00884F64" w:rsidP="00884F64">
      <w:pPr>
        <w:rPr>
          <w:rFonts w:ascii="Times New Roman" w:hAnsi="Times New Roman" w:cs="Times New Roman"/>
        </w:rPr>
      </w:pPr>
    </w:p>
    <w:p w14:paraId="7F7A87C1" w14:textId="77777777" w:rsidR="00884F64" w:rsidRDefault="00884F64" w:rsidP="00884F64">
      <w:pPr>
        <w:rPr>
          <w:rFonts w:ascii="Times New Roman" w:hAnsi="Times New Roman" w:cs="Times New Roman"/>
        </w:rPr>
      </w:pPr>
    </w:p>
    <w:p w14:paraId="766BE511" w14:textId="77777777" w:rsidR="00884F64" w:rsidRDefault="00884F64" w:rsidP="00884F64">
      <w:pPr>
        <w:rPr>
          <w:rFonts w:ascii="Times New Roman" w:hAnsi="Times New Roman" w:cs="Times New Roman"/>
        </w:rPr>
      </w:pPr>
    </w:p>
    <w:p w14:paraId="3A48BB78" w14:textId="77777777" w:rsidR="00884F64" w:rsidRPr="00884F64" w:rsidRDefault="00884F64" w:rsidP="00884F64">
      <w:pPr>
        <w:rPr>
          <w:rFonts w:ascii="Times New Roman" w:hAnsi="Times New Roman" w:cs="Times New Roman"/>
        </w:rPr>
      </w:pPr>
    </w:p>
    <w:p w14:paraId="1EE63FFB"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lastRenderedPageBreak/>
        <w:t>2. Introduction</w:t>
      </w:r>
    </w:p>
    <w:p w14:paraId="02314C77"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Healthcare has traditionally been organised around physical encounters: patients travel to hospitals, clinics or general practices for assessment, diagnosis and follow-up. This model remains essential for many clinical services, particularly emergency care, surgery and examinations requiring physical intervention. Nevertheless, requiring every healthcare interaction to occur physically can create unnecessary travel, congestion, waiting time and pressure on scarce clinical resources.</w:t>
      </w:r>
    </w:p>
    <w:p w14:paraId="384F2143"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Digital technologies provide an alternative for selected services. </w:t>
      </w:r>
      <w:r w:rsidRPr="00884F64">
        <w:rPr>
          <w:rFonts w:ascii="Times New Roman" w:hAnsi="Times New Roman" w:cs="Times New Roman"/>
          <w:b/>
          <w:bCs/>
        </w:rPr>
        <w:t>Telemedicine</w:t>
      </w:r>
      <w:r w:rsidRPr="00884F64">
        <w:rPr>
          <w:rFonts w:ascii="Times New Roman" w:hAnsi="Times New Roman" w:cs="Times New Roman"/>
        </w:rPr>
        <w:t xml:space="preserve"> enables consultations between patients and healthcare professionals through video, telephone or secure digital platforms. </w:t>
      </w:r>
      <w:r w:rsidRPr="00884F64">
        <w:rPr>
          <w:rFonts w:ascii="Times New Roman" w:hAnsi="Times New Roman" w:cs="Times New Roman"/>
          <w:b/>
          <w:bCs/>
        </w:rPr>
        <w:t>Remote Patient Monitoring</w:t>
      </w:r>
      <w:r w:rsidRPr="00884F64">
        <w:rPr>
          <w:rFonts w:ascii="Times New Roman" w:hAnsi="Times New Roman" w:cs="Times New Roman"/>
        </w:rPr>
        <w:t xml:space="preserve"> allows physiological or symptom information to be collected outside conventional healthcare facilities and communicated to care teams. Connected blood-pressure monitors, pulse oximeters, glucose monitors, weighing scales, electrocardiogram devices and wearables can generate information while patients remain at home. Patient portals and mobile applications can provide appointment management, educational resources, messaging and access to health information.</w:t>
      </w:r>
    </w:p>
    <w:p w14:paraId="4EBBCB60"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These technologies potentially change healthcare from an episodic model to a more continuous model:</w:t>
      </w:r>
    </w:p>
    <w:p w14:paraId="6D516A1A" w14:textId="2A25564C" w:rsidR="00884F64" w:rsidRPr="00884F64" w:rsidRDefault="005175EA" w:rsidP="00884F64">
      <w:pPr>
        <w:rPr>
          <w:rFonts w:ascii="Times New Roman" w:hAnsi="Times New Roman" w:cs="Times New Roman"/>
        </w:rPr>
      </w:pPr>
      <m:oMathPara>
        <m:oMath>
          <m:r>
            <m:rPr>
              <m:nor/>
            </m:rPr>
            <w:rPr>
              <w:rFonts w:ascii="Times New Roman" w:hAnsi="Times New Roman" w:cs="Times New Roman"/>
            </w:rPr>
            <m:t>Traditional model: Patient becomes unwell</m:t>
          </m:r>
          <m:r>
            <w:rPr>
              <w:rFonts w:ascii="Cambria Math" w:hAnsi="Cambria Math" w:cs="Times New Roman"/>
            </w:rPr>
            <m:t>→</m:t>
          </m:r>
          <m:r>
            <m:rPr>
              <m:nor/>
            </m:rPr>
            <w:rPr>
              <w:rFonts w:ascii="Times New Roman" w:hAnsi="Times New Roman" w:cs="Times New Roman"/>
            </w:rPr>
            <m:t>Hospital visit</m:t>
          </m:r>
          <m:r>
            <w:rPr>
              <w:rFonts w:ascii="Cambria Math" w:hAnsi="Cambria Math" w:cs="Times New Roman"/>
            </w:rPr>
            <m:t>→</m:t>
          </m:r>
          <m:r>
            <m:rPr>
              <m:nor/>
            </m:rPr>
            <w:rPr>
              <w:rFonts w:ascii="Times New Roman" w:hAnsi="Times New Roman" w:cs="Times New Roman"/>
            </w:rPr>
            <m:t>Treatment</m:t>
          </m:r>
          <m:r>
            <w:rPr>
              <w:rFonts w:ascii="Times New Roman" w:hAnsi="Times New Roman" w:cs="Times New Roman"/>
            </w:rPr>
            <w:br/>
          </m:r>
        </m:oMath>
      </m:oMathPara>
      <w:r w:rsidR="00884F64" w:rsidRPr="00884F64">
        <w:rPr>
          <w:rFonts w:ascii="Times New Roman" w:hAnsi="Times New Roman" w:cs="Times New Roman"/>
        </w:rPr>
        <w:t>compared with:</w:t>
      </w:r>
    </w:p>
    <w:p w14:paraId="5E1658F5" w14:textId="77777777" w:rsidR="005175EA" w:rsidRPr="005175EA" w:rsidRDefault="005175EA" w:rsidP="00884F64">
      <w:pPr>
        <w:rPr>
          <w:rFonts w:ascii="Times New Roman" w:eastAsiaTheme="minorEastAsia" w:hAnsi="Times New Roman" w:cs="Times New Roman"/>
        </w:rPr>
      </w:pPr>
      <m:oMathPara>
        <m:oMath>
          <m:r>
            <m:rPr>
              <m:nor/>
            </m:rPr>
            <w:rPr>
              <w:rFonts w:ascii="Times New Roman" w:hAnsi="Times New Roman" w:cs="Times New Roman"/>
            </w:rPr>
            <m:t>Digital model: Home monitoring</m:t>
          </m:r>
          <m:r>
            <w:rPr>
              <w:rFonts w:ascii="Cambria Math" w:hAnsi="Cambria Math" w:cs="Times New Roman"/>
            </w:rPr>
            <m:t>→</m:t>
          </m:r>
          <m:r>
            <m:rPr>
              <m:nor/>
            </m:rPr>
            <w:rPr>
              <w:rFonts w:ascii="Times New Roman" w:hAnsi="Times New Roman" w:cs="Times New Roman"/>
            </w:rPr>
            <m:t>Risk detection</m:t>
          </m:r>
          <m:r>
            <w:rPr>
              <w:rFonts w:ascii="Cambria Math" w:hAnsi="Cambria Math" w:cs="Times New Roman"/>
            </w:rPr>
            <m:t>→</m:t>
          </m:r>
          <m:r>
            <m:rPr>
              <m:nor/>
            </m:rPr>
            <w:rPr>
              <w:rFonts w:ascii="Times New Roman" w:hAnsi="Times New Roman" w:cs="Times New Roman"/>
            </w:rPr>
            <m:t>Virtual assessment</m:t>
          </m:r>
          <m:r>
            <w:rPr>
              <w:rFonts w:ascii="Cambria Math" w:hAnsi="Cambria Math" w:cs="Times New Roman"/>
            </w:rPr>
            <m:t>→</m:t>
          </m:r>
          <m:r>
            <m:rPr>
              <m:nor/>
            </m:rPr>
            <w:rPr>
              <w:rFonts w:ascii="Times New Roman" w:hAnsi="Times New Roman" w:cs="Times New Roman"/>
            </w:rPr>
            <m:t>Early intervention</m:t>
          </m:r>
        </m:oMath>
      </m:oMathPara>
    </w:p>
    <w:p w14:paraId="77C0051F" w14:textId="756C7D78" w:rsidR="00884F64" w:rsidRPr="00884F64" w:rsidRDefault="005175EA" w:rsidP="00884F64">
      <w:pPr>
        <w:rPr>
          <w:rFonts w:ascii="Times New Roman" w:hAnsi="Times New Roman" w:cs="Times New Roman"/>
        </w:rPr>
      </w:pPr>
      <w:r w:rsidRPr="005175EA">
        <w:rPr>
          <w:rFonts w:ascii="Times New Roman" w:hAnsi="Times New Roman" w:cs="Times New Roman"/>
        </w:rPr>
        <w:br/>
      </w:r>
      <w:r w:rsidR="00884F64" w:rsidRPr="00884F64">
        <w:rPr>
          <w:rFonts w:ascii="Times New Roman" w:hAnsi="Times New Roman" w:cs="Times New Roman"/>
        </w:rPr>
        <w:t>However, digital care should not be assumed to be inherently more efficient. RPM generates additional information that somebody must review. Poorly configured alerts can increase clinician workload. Patients without digital skills, internet access or appropriate devices can be disadvantaged. Technology investment can also increase expenditure without reducing hospital utilisation if programmes target unsuitable populations.</w:t>
      </w:r>
    </w:p>
    <w:p w14:paraId="1C916D1A" w14:textId="33098638"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The evidence supports this cautious interpretation. Taylor et al.'s systematic review found that RPM reduced acute-care utilisation in some settings, particularly cardiovascular disease and COPD, but effects were inconsistent across conditions and interventions. </w:t>
      </w:r>
      <w:hyperlink r:id="rId8" w:history="1">
        <w:r>
          <w:rPr>
            <w:rStyle w:val="Hyperlink"/>
            <w:rFonts w:ascii="Times New Roman" w:hAnsi="Times New Roman" w:cs="Times New Roman"/>
          </w:rPr>
          <w:t xml:space="preserve">  </w:t>
        </w:r>
      </w:hyperlink>
      <w:r w:rsidRPr="00884F64">
        <w:rPr>
          <w:rFonts w:ascii="Times New Roman" w:hAnsi="Times New Roman" w:cs="Times New Roman"/>
        </w:rPr>
        <w:t xml:space="preserve"> Economic evidence similarly demonstrates that cost-effectiveness varies by clinical context and programme design. </w:t>
      </w:r>
      <w:hyperlink r:id="rId9" w:history="1">
        <w:r>
          <w:rPr>
            <w:rStyle w:val="Hyperlink"/>
            <w:rFonts w:ascii="Times New Roman" w:hAnsi="Times New Roman" w:cs="Times New Roman"/>
          </w:rPr>
          <w:t xml:space="preserve">  </w:t>
        </w:r>
      </w:hyperlink>
    </w:p>
    <w:p w14:paraId="12133539"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Accordingly, this report addresses four objectives: first, to analyse telemedicine, RPM and patient-facing digital tools in resource management, outpatient monitoring and clinical processes; second, to evaluate operational, financial, clinical and patient-experience outcomes; third, to examine organisational and human adoption barriers; and fourth, to develop a cost-conscious and scalable remote-care implementation strategy for a mid-sized hospital.</w:t>
      </w:r>
    </w:p>
    <w:p w14:paraId="05ED76B8" w14:textId="1A5F8C4B" w:rsidR="00884F64" w:rsidRPr="00884F64" w:rsidRDefault="00884F64" w:rsidP="00884F64">
      <w:pPr>
        <w:rPr>
          <w:rFonts w:ascii="Times New Roman" w:hAnsi="Times New Roman" w:cs="Times New Roman"/>
        </w:rPr>
      </w:pPr>
    </w:p>
    <w:p w14:paraId="01F02E5D"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lastRenderedPageBreak/>
        <w:t>3. Literature Review</w:t>
      </w:r>
    </w:p>
    <w:p w14:paraId="762F5E21"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3.1 Digital Transformation and Virtual Healthcare</w:t>
      </w:r>
    </w:p>
    <w:p w14:paraId="123B089C"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Digital care delivery represents more than replacing a face-to-face appointment with a video call. It involves redesigning where information is generated, where clinical decisions occur and how healthcare resources are allocated.</w:t>
      </w:r>
    </w:p>
    <w:p w14:paraId="7DC6135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digital-care ecosystem can include:</w:t>
      </w:r>
    </w:p>
    <w:tbl>
      <w:tblPr>
        <w:tblStyle w:val="TableGrid"/>
        <w:tblW w:w="0" w:type="auto"/>
        <w:tblLook w:val="04A0" w:firstRow="1" w:lastRow="0" w:firstColumn="1" w:lastColumn="0" w:noHBand="0" w:noVBand="1"/>
      </w:tblPr>
      <w:tblGrid>
        <w:gridCol w:w="2056"/>
        <w:gridCol w:w="3636"/>
        <w:gridCol w:w="2562"/>
      </w:tblGrid>
      <w:tr w:rsidR="00884F64" w:rsidRPr="00884F64" w14:paraId="25EF401D" w14:textId="77777777" w:rsidTr="005175EA">
        <w:tc>
          <w:tcPr>
            <w:tcW w:w="0" w:type="auto"/>
            <w:hideMark/>
          </w:tcPr>
          <w:p w14:paraId="32E22763"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Technology</w:t>
            </w:r>
          </w:p>
        </w:tc>
        <w:tc>
          <w:tcPr>
            <w:tcW w:w="0" w:type="auto"/>
            <w:hideMark/>
          </w:tcPr>
          <w:p w14:paraId="290DCED1"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Primary function</w:t>
            </w:r>
          </w:p>
        </w:tc>
        <w:tc>
          <w:tcPr>
            <w:tcW w:w="0" w:type="auto"/>
            <w:hideMark/>
          </w:tcPr>
          <w:p w14:paraId="11C3F734"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Potential value</w:t>
            </w:r>
          </w:p>
        </w:tc>
      </w:tr>
      <w:tr w:rsidR="00884F64" w:rsidRPr="00884F64" w14:paraId="5802ADA6" w14:textId="77777777" w:rsidTr="005175EA">
        <w:tc>
          <w:tcPr>
            <w:tcW w:w="0" w:type="auto"/>
            <w:hideMark/>
          </w:tcPr>
          <w:p w14:paraId="667B512E"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Telemedicine</w:t>
            </w:r>
          </w:p>
        </w:tc>
        <w:tc>
          <w:tcPr>
            <w:tcW w:w="0" w:type="auto"/>
            <w:hideMark/>
          </w:tcPr>
          <w:p w14:paraId="23E637D7"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Remote consultation</w:t>
            </w:r>
          </w:p>
        </w:tc>
        <w:tc>
          <w:tcPr>
            <w:tcW w:w="0" w:type="auto"/>
            <w:hideMark/>
          </w:tcPr>
          <w:p w14:paraId="51F8FCA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Access and convenience</w:t>
            </w:r>
          </w:p>
        </w:tc>
      </w:tr>
      <w:tr w:rsidR="00884F64" w:rsidRPr="00884F64" w14:paraId="063ED238" w14:textId="77777777" w:rsidTr="005175EA">
        <w:tc>
          <w:tcPr>
            <w:tcW w:w="0" w:type="auto"/>
            <w:hideMark/>
          </w:tcPr>
          <w:p w14:paraId="79CC9E9B"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RPM</w:t>
            </w:r>
          </w:p>
        </w:tc>
        <w:tc>
          <w:tcPr>
            <w:tcW w:w="0" w:type="auto"/>
            <w:hideMark/>
          </w:tcPr>
          <w:p w14:paraId="39ED9054"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Continuous/intermittent monitoring</w:t>
            </w:r>
          </w:p>
        </w:tc>
        <w:tc>
          <w:tcPr>
            <w:tcW w:w="0" w:type="auto"/>
            <w:hideMark/>
          </w:tcPr>
          <w:p w14:paraId="69C6AF45"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Early risk identification</w:t>
            </w:r>
          </w:p>
        </w:tc>
      </w:tr>
      <w:tr w:rsidR="00884F64" w:rsidRPr="00884F64" w14:paraId="1D654696" w14:textId="77777777" w:rsidTr="005175EA">
        <w:tc>
          <w:tcPr>
            <w:tcW w:w="0" w:type="auto"/>
            <w:hideMark/>
          </w:tcPr>
          <w:p w14:paraId="33137441"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Wearables</w:t>
            </w:r>
          </w:p>
        </w:tc>
        <w:tc>
          <w:tcPr>
            <w:tcW w:w="0" w:type="auto"/>
            <w:hideMark/>
          </w:tcPr>
          <w:p w14:paraId="0C5FA726"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Passive/active measurements</w:t>
            </w:r>
          </w:p>
        </w:tc>
        <w:tc>
          <w:tcPr>
            <w:tcW w:w="0" w:type="auto"/>
            <w:hideMark/>
          </w:tcPr>
          <w:p w14:paraId="4C9C25DC"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Longitudinal data</w:t>
            </w:r>
          </w:p>
        </w:tc>
      </w:tr>
      <w:tr w:rsidR="00884F64" w:rsidRPr="00884F64" w14:paraId="31C72CB8" w14:textId="77777777" w:rsidTr="005175EA">
        <w:tc>
          <w:tcPr>
            <w:tcW w:w="0" w:type="auto"/>
            <w:hideMark/>
          </w:tcPr>
          <w:p w14:paraId="51519DEA"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IoMT devices</w:t>
            </w:r>
          </w:p>
        </w:tc>
        <w:tc>
          <w:tcPr>
            <w:tcW w:w="0" w:type="auto"/>
            <w:hideMark/>
          </w:tcPr>
          <w:p w14:paraId="43240767"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Connected medical measurements</w:t>
            </w:r>
          </w:p>
        </w:tc>
        <w:tc>
          <w:tcPr>
            <w:tcW w:w="0" w:type="auto"/>
            <w:hideMark/>
          </w:tcPr>
          <w:p w14:paraId="583CDBC0"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Automated transmission</w:t>
            </w:r>
          </w:p>
        </w:tc>
      </w:tr>
      <w:tr w:rsidR="00884F64" w:rsidRPr="00884F64" w14:paraId="085B10C1" w14:textId="77777777" w:rsidTr="005175EA">
        <w:tc>
          <w:tcPr>
            <w:tcW w:w="0" w:type="auto"/>
            <w:hideMark/>
          </w:tcPr>
          <w:p w14:paraId="410B4BC3"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Patient portal</w:t>
            </w:r>
          </w:p>
        </w:tc>
        <w:tc>
          <w:tcPr>
            <w:tcW w:w="0" w:type="auto"/>
            <w:hideMark/>
          </w:tcPr>
          <w:p w14:paraId="6966452A"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Records, appointments, messages</w:t>
            </w:r>
          </w:p>
        </w:tc>
        <w:tc>
          <w:tcPr>
            <w:tcW w:w="0" w:type="auto"/>
            <w:hideMark/>
          </w:tcPr>
          <w:p w14:paraId="1378477C"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Patient engagement</w:t>
            </w:r>
          </w:p>
        </w:tc>
      </w:tr>
      <w:tr w:rsidR="00884F64" w:rsidRPr="00884F64" w14:paraId="660B0871" w14:textId="77777777" w:rsidTr="005175EA">
        <w:tc>
          <w:tcPr>
            <w:tcW w:w="0" w:type="auto"/>
            <w:hideMark/>
          </w:tcPr>
          <w:p w14:paraId="289E7223"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Mobile health apps</w:t>
            </w:r>
          </w:p>
        </w:tc>
        <w:tc>
          <w:tcPr>
            <w:tcW w:w="0" w:type="auto"/>
            <w:hideMark/>
          </w:tcPr>
          <w:p w14:paraId="618D8121"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Education and self-management</w:t>
            </w:r>
          </w:p>
        </w:tc>
        <w:tc>
          <w:tcPr>
            <w:tcW w:w="0" w:type="auto"/>
            <w:hideMark/>
          </w:tcPr>
          <w:p w14:paraId="0C9FB5B8"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Behavioural support</w:t>
            </w:r>
          </w:p>
        </w:tc>
      </w:tr>
      <w:tr w:rsidR="00884F64" w:rsidRPr="00884F64" w14:paraId="05F3E52F" w14:textId="77777777" w:rsidTr="005175EA">
        <w:tc>
          <w:tcPr>
            <w:tcW w:w="0" w:type="auto"/>
            <w:hideMark/>
          </w:tcPr>
          <w:p w14:paraId="504FC485"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E-prescribing</w:t>
            </w:r>
          </w:p>
        </w:tc>
        <w:tc>
          <w:tcPr>
            <w:tcW w:w="0" w:type="auto"/>
            <w:hideMark/>
          </w:tcPr>
          <w:p w14:paraId="1F330A9E"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Digital prescriptions</w:t>
            </w:r>
          </w:p>
        </w:tc>
        <w:tc>
          <w:tcPr>
            <w:tcW w:w="0" w:type="auto"/>
            <w:hideMark/>
          </w:tcPr>
          <w:p w14:paraId="042B233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Workflow efficiency</w:t>
            </w:r>
          </w:p>
        </w:tc>
      </w:tr>
      <w:tr w:rsidR="00884F64" w:rsidRPr="00884F64" w14:paraId="501B0609" w14:textId="77777777" w:rsidTr="005175EA">
        <w:tc>
          <w:tcPr>
            <w:tcW w:w="0" w:type="auto"/>
            <w:hideMark/>
          </w:tcPr>
          <w:p w14:paraId="78ABDF83"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EHR</w:t>
            </w:r>
          </w:p>
        </w:tc>
        <w:tc>
          <w:tcPr>
            <w:tcW w:w="0" w:type="auto"/>
            <w:hideMark/>
          </w:tcPr>
          <w:p w14:paraId="74AAA191"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Longitudinal clinical record</w:t>
            </w:r>
          </w:p>
        </w:tc>
        <w:tc>
          <w:tcPr>
            <w:tcW w:w="0" w:type="auto"/>
            <w:hideMark/>
          </w:tcPr>
          <w:p w14:paraId="510536FA"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Information continuity</w:t>
            </w:r>
          </w:p>
        </w:tc>
      </w:tr>
      <w:tr w:rsidR="00884F64" w:rsidRPr="00884F64" w14:paraId="71FDA0CB" w14:textId="77777777" w:rsidTr="005175EA">
        <w:tc>
          <w:tcPr>
            <w:tcW w:w="0" w:type="auto"/>
            <w:hideMark/>
          </w:tcPr>
          <w:p w14:paraId="37C372B8"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Analytics</w:t>
            </w:r>
          </w:p>
        </w:tc>
        <w:tc>
          <w:tcPr>
            <w:tcW w:w="0" w:type="auto"/>
            <w:hideMark/>
          </w:tcPr>
          <w:p w14:paraId="6014C273"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Risk stratification</w:t>
            </w:r>
          </w:p>
        </w:tc>
        <w:tc>
          <w:tcPr>
            <w:tcW w:w="0" w:type="auto"/>
            <w:hideMark/>
          </w:tcPr>
          <w:p w14:paraId="1774AC2B"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Decision support</w:t>
            </w:r>
          </w:p>
        </w:tc>
      </w:tr>
    </w:tbl>
    <w:p w14:paraId="2A0E8E46"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strategic value is greatest when these technologies operate as one care pathway. A stand-alone video platform may improve access but can create another information silo if consultation documentation does not reach the EHR.</w:t>
      </w:r>
    </w:p>
    <w:p w14:paraId="0B74D718" w14:textId="2E84D56C" w:rsidR="00884F64" w:rsidRPr="00884F64" w:rsidRDefault="00884F64" w:rsidP="00884F64">
      <w:pPr>
        <w:rPr>
          <w:rFonts w:ascii="Times New Roman" w:hAnsi="Times New Roman" w:cs="Times New Roman"/>
        </w:rPr>
      </w:pPr>
    </w:p>
    <w:p w14:paraId="1C6C6805"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3.2 Telemedicine and Virtual Consultation Platforms</w:t>
      </w:r>
    </w:p>
    <w:p w14:paraId="05DF596B"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Telemedicine can be synchronous or asynchronous.</w:t>
      </w:r>
    </w:p>
    <w:p w14:paraId="647609ED"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Synchronous telemedicine</w:t>
      </w:r>
      <w:r w:rsidRPr="00884F64">
        <w:rPr>
          <w:rFonts w:ascii="Times New Roman" w:hAnsi="Times New Roman" w:cs="Times New Roman"/>
        </w:rPr>
        <w:t xml:space="preserve"> involves real-time interaction, such as video or telephone consultations.</w:t>
      </w:r>
    </w:p>
    <w:p w14:paraId="1F67C1CF"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Asynchronous telemedicine</w:t>
      </w:r>
      <w:r w:rsidRPr="00884F64">
        <w:rPr>
          <w:rFonts w:ascii="Times New Roman" w:hAnsi="Times New Roman" w:cs="Times New Roman"/>
        </w:rPr>
        <w:t xml:space="preserve"> involves information being reviewed later, including uploaded photographs, questionnaires or specialist advice.</w:t>
      </w:r>
    </w:p>
    <w:p w14:paraId="6A82ED93"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Video consultation can be useful for follow-up care, medication reviews, mental-health services, dermatology, chronic-disease management and post-discharge assessment. It can reduce patient travel and potentially release physical clinic capacity.</w:t>
      </w:r>
    </w:p>
    <w:p w14:paraId="3BE11644"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lastRenderedPageBreak/>
        <w:t>Nevertheless, suitability must be determined clinically. Telemedicine cannot replace physical examination where palpation, detailed neurological assessment, diagnostic procedures or emergency intervention is necessary.</w:t>
      </w:r>
    </w:p>
    <w:p w14:paraId="451FFDD4"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Therefore:</w:t>
      </w:r>
    </w:p>
    <w:p w14:paraId="3FA9BAA5" w14:textId="76647BAF" w:rsidR="00884F64" w:rsidRPr="00884F64" w:rsidRDefault="005175EA" w:rsidP="00884F64">
      <w:pPr>
        <w:rPr>
          <w:rFonts w:ascii="Times New Roman" w:hAnsi="Times New Roman" w:cs="Times New Roman"/>
        </w:rPr>
      </w:pPr>
      <m:oMathPara>
        <m:oMath>
          <m:borderBox>
            <m:borderBoxPr>
              <m:ctrlPr>
                <w:rPr>
                  <w:rFonts w:ascii="Cambria Math" w:hAnsi="Cambria Math" w:cs="Times New Roman"/>
                </w:rPr>
              </m:ctrlPr>
            </m:borderBoxPr>
            <m:e>
              <m:r>
                <m:rPr>
                  <m:nor/>
                </m:rPr>
                <w:rPr>
                  <w:rFonts w:ascii="Times New Roman" w:hAnsi="Times New Roman" w:cs="Times New Roman"/>
                </w:rPr>
                <m:t>Digital-first where appropriate, not digital-only</m:t>
              </m:r>
            </m:e>
          </m:borderBox>
          <m:r>
            <w:rPr>
              <w:rFonts w:ascii="Times New Roman" w:hAnsi="Times New Roman" w:cs="Times New Roman"/>
            </w:rPr>
            <w:br/>
          </m:r>
        </m:oMath>
      </m:oMathPara>
      <w:r w:rsidR="00884F64" w:rsidRPr="00884F64">
        <w:rPr>
          <w:rFonts w:ascii="Times New Roman" w:hAnsi="Times New Roman" w:cs="Times New Roman"/>
        </w:rPr>
        <w:t>is a more defensible service principle.</w:t>
      </w:r>
    </w:p>
    <w:p w14:paraId="6D6A3177" w14:textId="2BEF09B0"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Patient satisfaction is also important. A 2024 systematic review and meta-analysis specifically examined how satisfaction with telemedicine is measured, illustrating both the importance of patient experience and methodological variation in its assessment. </w:t>
      </w:r>
      <w:hyperlink r:id="rId10" w:history="1">
        <w:r>
          <w:rPr>
            <w:rStyle w:val="Hyperlink"/>
            <w:rFonts w:ascii="Times New Roman" w:hAnsi="Times New Roman" w:cs="Times New Roman"/>
          </w:rPr>
          <w:t xml:space="preserve">  </w:t>
        </w:r>
      </w:hyperlink>
    </w:p>
    <w:p w14:paraId="1DF8A728" w14:textId="07E9D539" w:rsidR="00884F64" w:rsidRPr="00884F64" w:rsidRDefault="00884F64" w:rsidP="00884F64">
      <w:pPr>
        <w:rPr>
          <w:rFonts w:ascii="Times New Roman" w:hAnsi="Times New Roman" w:cs="Times New Roman"/>
        </w:rPr>
      </w:pPr>
    </w:p>
    <w:p w14:paraId="673165FF"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3.3 Remote Patient Monitoring</w:t>
      </w:r>
    </w:p>
    <w:p w14:paraId="6D22D7E0"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RPM involves collecting patient information outside conventional clinical environments and transmitting it to healthcare teams for review or automated analysis.</w:t>
      </w:r>
    </w:p>
    <w:p w14:paraId="6CC0B05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A typical pathway is:</w:t>
      </w:r>
    </w:p>
    <w:p w14:paraId="3739350C"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Patient at Home</w:t>
      </w:r>
    </w:p>
    <w:p w14:paraId="28B4DF8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3DF12E64"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Connected Medical Device</w:t>
      </w:r>
    </w:p>
    <w:p w14:paraId="688D8A11"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18F6A2EB"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Mobile App/Home Gateway</w:t>
      </w:r>
    </w:p>
    <w:p w14:paraId="48D4C4B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258ACAC4"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Secure Cloud Platform</w:t>
      </w:r>
    </w:p>
    <w:p w14:paraId="58917C78"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6060FB6E"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Monitoring Dashboard</w:t>
      </w:r>
    </w:p>
    <w:p w14:paraId="039AA420"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5E970816"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Risk Algorithm</w:t>
      </w:r>
    </w:p>
    <w:p w14:paraId="631E1120"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1383F05D"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Clinical Team</w:t>
      </w:r>
    </w:p>
    <w:p w14:paraId="47A8DD4D"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343EB1AF"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Intervention</w:t>
      </w:r>
    </w:p>
    <w:p w14:paraId="643350D4"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lastRenderedPageBreak/>
        <w:t>RPM can support conditions such as hypertension, heart failure, COPD and diabetes. Relevant measurements include blood pressure, weight, oxygen saturation, glucose levels, heart rate and symptoms.</w:t>
      </w:r>
    </w:p>
    <w:p w14:paraId="1FB0AF15"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Its principal advantage is the potential to identify deterioration before a crisis requires emergency care.</w:t>
      </w:r>
    </w:p>
    <w:p w14:paraId="583978D7" w14:textId="5664309C"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However, systematic evidence shows that this benefit is not universal. Taylor et al. reviewed 91 studies and found reductions in admissions in 44 of 90 studies reporting admission outcomes. Twenty-three of 47 studies reported reduced length of stay, while 13 of 32 studies reported fewer emergency presentations. Most remaining studies reported no change, and a small number found increased acute-care use. </w:t>
      </w:r>
    </w:p>
    <w:p w14:paraId="2FDDC37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Therefore, RPM effectiveness depends upon more than the monitoring device. The critical mechanism is:</w:t>
      </w:r>
    </w:p>
    <w:p w14:paraId="23678BA0" w14:textId="77777777" w:rsidR="005175EA" w:rsidRPr="005175EA" w:rsidRDefault="005175EA" w:rsidP="00884F64">
      <w:pPr>
        <w:rPr>
          <w:rFonts w:ascii="Times New Roman" w:eastAsiaTheme="minorEastAsia" w:hAnsi="Times New Roman" w:cs="Times New Roman"/>
        </w:rPr>
      </w:pPr>
      <m:oMathPara>
        <m:oMath>
          <m:borderBox>
            <m:borderBoxPr>
              <m:ctrlPr>
                <w:rPr>
                  <w:rFonts w:ascii="Cambria Math" w:hAnsi="Cambria Math" w:cs="Times New Roman"/>
                </w:rPr>
              </m:ctrlPr>
            </m:borderBoxPr>
            <m:e>
              <m:r>
                <m:rPr>
                  <m:nor/>
                </m:rPr>
                <w:rPr>
                  <w:rFonts w:ascii="Times New Roman" w:hAnsi="Times New Roman" w:cs="Times New Roman"/>
                </w:rPr>
                <m:t>Data</m:t>
              </m:r>
              <m:r>
                <w:rPr>
                  <w:rFonts w:ascii="Cambria Math" w:hAnsi="Cambria Math" w:cs="Times New Roman"/>
                </w:rPr>
                <m:t>→</m:t>
              </m:r>
              <m:r>
                <m:rPr>
                  <m:nor/>
                </m:rPr>
                <w:rPr>
                  <w:rFonts w:ascii="Times New Roman" w:hAnsi="Times New Roman" w:cs="Times New Roman"/>
                </w:rPr>
                <m:t>Detection</m:t>
              </m:r>
              <m:r>
                <w:rPr>
                  <w:rFonts w:ascii="Cambria Math" w:hAnsi="Cambria Math" w:cs="Times New Roman"/>
                </w:rPr>
                <m:t>→</m:t>
              </m:r>
              <m:r>
                <m:rPr>
                  <m:nor/>
                </m:rPr>
                <w:rPr>
                  <w:rFonts w:ascii="Times New Roman" w:hAnsi="Times New Roman" w:cs="Times New Roman"/>
                </w:rPr>
                <m:t>Clinical Action</m:t>
              </m:r>
              <m:r>
                <w:rPr>
                  <w:rFonts w:ascii="Cambria Math" w:hAnsi="Cambria Math" w:cs="Times New Roman"/>
                </w:rPr>
                <m:t>→</m:t>
              </m:r>
              <m:r>
                <m:rPr>
                  <m:nor/>
                </m:rPr>
                <w:rPr>
                  <w:rFonts w:ascii="Times New Roman" w:hAnsi="Times New Roman" w:cs="Times New Roman"/>
                </w:rPr>
                <m:t>Outcome</m:t>
              </m:r>
            </m:e>
          </m:borderBox>
        </m:oMath>
      </m:oMathPara>
    </w:p>
    <w:p w14:paraId="7AAFB298" w14:textId="352D3C1A" w:rsidR="00884F64" w:rsidRPr="005175EA" w:rsidRDefault="005175EA" w:rsidP="00884F64">
      <w:pPr>
        <w:rPr>
          <w:rFonts w:ascii="Times New Roman" w:eastAsiaTheme="minorEastAsia" w:hAnsi="Times New Roman" w:cs="Times New Roman"/>
        </w:rPr>
      </w:pPr>
      <w:r w:rsidRPr="005175EA">
        <w:rPr>
          <w:rFonts w:ascii="Times New Roman" w:hAnsi="Times New Roman" w:cs="Times New Roman"/>
        </w:rPr>
        <w:br/>
      </w:r>
      <w:r w:rsidR="00884F64" w:rsidRPr="00884F64">
        <w:rPr>
          <w:rFonts w:ascii="Times New Roman" w:hAnsi="Times New Roman" w:cs="Times New Roman"/>
        </w:rPr>
        <w:t>Collecting data without an effective response pathway has limited clinical value.</w:t>
      </w:r>
    </w:p>
    <w:p w14:paraId="41637278"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pict w14:anchorId="34F216CD">
          <v:rect id="_x0000_i1606" style="width:0;height:1.5pt" o:hralign="center" o:hrstd="t" o:hr="t" fillcolor="#a0a0a0" stroked="f"/>
        </w:pict>
      </w:r>
    </w:p>
    <w:p w14:paraId="1F2B4C2C"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3.4 Internet of Medical Things and Wearable Technologies</w:t>
      </w:r>
    </w:p>
    <w:p w14:paraId="5B16010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IoMT refers to connected medical technologies that capture and transmit health-related information.</w:t>
      </w:r>
    </w:p>
    <w:p w14:paraId="76319F70"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Examples include:</w:t>
      </w:r>
    </w:p>
    <w:p w14:paraId="68BE733C" w14:textId="77777777" w:rsidR="00884F64" w:rsidRPr="00884F64" w:rsidRDefault="00884F64" w:rsidP="00884F64">
      <w:pPr>
        <w:numPr>
          <w:ilvl w:val="0"/>
          <w:numId w:val="12"/>
        </w:numPr>
        <w:rPr>
          <w:rFonts w:ascii="Times New Roman" w:hAnsi="Times New Roman" w:cs="Times New Roman"/>
        </w:rPr>
      </w:pPr>
      <w:r w:rsidRPr="00884F64">
        <w:rPr>
          <w:rFonts w:ascii="Times New Roman" w:hAnsi="Times New Roman" w:cs="Times New Roman"/>
        </w:rPr>
        <w:t>smart blood-pressure monitors;</w:t>
      </w:r>
    </w:p>
    <w:p w14:paraId="6D57C632" w14:textId="77777777" w:rsidR="00884F64" w:rsidRPr="00884F64" w:rsidRDefault="00884F64" w:rsidP="00884F64">
      <w:pPr>
        <w:numPr>
          <w:ilvl w:val="0"/>
          <w:numId w:val="12"/>
        </w:numPr>
        <w:rPr>
          <w:rFonts w:ascii="Times New Roman" w:hAnsi="Times New Roman" w:cs="Times New Roman"/>
        </w:rPr>
      </w:pPr>
      <w:r w:rsidRPr="00884F64">
        <w:rPr>
          <w:rFonts w:ascii="Times New Roman" w:hAnsi="Times New Roman" w:cs="Times New Roman"/>
        </w:rPr>
        <w:t>continuous glucose monitors;</w:t>
      </w:r>
    </w:p>
    <w:p w14:paraId="5B5B609A" w14:textId="77777777" w:rsidR="00884F64" w:rsidRPr="00884F64" w:rsidRDefault="00884F64" w:rsidP="00884F64">
      <w:pPr>
        <w:numPr>
          <w:ilvl w:val="0"/>
          <w:numId w:val="12"/>
        </w:numPr>
        <w:rPr>
          <w:rFonts w:ascii="Times New Roman" w:hAnsi="Times New Roman" w:cs="Times New Roman"/>
        </w:rPr>
      </w:pPr>
      <w:r w:rsidRPr="00884F64">
        <w:rPr>
          <w:rFonts w:ascii="Times New Roman" w:hAnsi="Times New Roman" w:cs="Times New Roman"/>
        </w:rPr>
        <w:t>pulse oximeters;</w:t>
      </w:r>
    </w:p>
    <w:p w14:paraId="5B95D846" w14:textId="77777777" w:rsidR="00884F64" w:rsidRPr="00884F64" w:rsidRDefault="00884F64" w:rsidP="00884F64">
      <w:pPr>
        <w:numPr>
          <w:ilvl w:val="0"/>
          <w:numId w:val="12"/>
        </w:numPr>
        <w:rPr>
          <w:rFonts w:ascii="Times New Roman" w:hAnsi="Times New Roman" w:cs="Times New Roman"/>
        </w:rPr>
      </w:pPr>
      <w:r w:rsidRPr="00884F64">
        <w:rPr>
          <w:rFonts w:ascii="Times New Roman" w:hAnsi="Times New Roman" w:cs="Times New Roman"/>
        </w:rPr>
        <w:t>digital weighing scales;</w:t>
      </w:r>
    </w:p>
    <w:p w14:paraId="1E96D797" w14:textId="77777777" w:rsidR="00884F64" w:rsidRPr="00884F64" w:rsidRDefault="00884F64" w:rsidP="00884F64">
      <w:pPr>
        <w:numPr>
          <w:ilvl w:val="0"/>
          <w:numId w:val="12"/>
        </w:numPr>
        <w:rPr>
          <w:rFonts w:ascii="Times New Roman" w:hAnsi="Times New Roman" w:cs="Times New Roman"/>
        </w:rPr>
      </w:pPr>
      <w:r w:rsidRPr="00884F64">
        <w:rPr>
          <w:rFonts w:ascii="Times New Roman" w:hAnsi="Times New Roman" w:cs="Times New Roman"/>
        </w:rPr>
        <w:t>ECG patches;</w:t>
      </w:r>
    </w:p>
    <w:p w14:paraId="1BD96D63" w14:textId="77777777" w:rsidR="00884F64" w:rsidRPr="00884F64" w:rsidRDefault="00884F64" w:rsidP="00884F64">
      <w:pPr>
        <w:numPr>
          <w:ilvl w:val="0"/>
          <w:numId w:val="12"/>
        </w:numPr>
        <w:rPr>
          <w:rFonts w:ascii="Times New Roman" w:hAnsi="Times New Roman" w:cs="Times New Roman"/>
        </w:rPr>
      </w:pPr>
      <w:r w:rsidRPr="00884F64">
        <w:rPr>
          <w:rFonts w:ascii="Times New Roman" w:hAnsi="Times New Roman" w:cs="Times New Roman"/>
        </w:rPr>
        <w:t>wearable activity monitors;</w:t>
      </w:r>
    </w:p>
    <w:p w14:paraId="7F4624E9" w14:textId="77777777" w:rsidR="00884F64" w:rsidRPr="00884F64" w:rsidRDefault="00884F64" w:rsidP="00884F64">
      <w:pPr>
        <w:numPr>
          <w:ilvl w:val="0"/>
          <w:numId w:val="12"/>
        </w:numPr>
        <w:rPr>
          <w:rFonts w:ascii="Times New Roman" w:hAnsi="Times New Roman" w:cs="Times New Roman"/>
        </w:rPr>
      </w:pPr>
      <w:r w:rsidRPr="00884F64">
        <w:rPr>
          <w:rFonts w:ascii="Times New Roman" w:hAnsi="Times New Roman" w:cs="Times New Roman"/>
        </w:rPr>
        <w:t>connected inhalers;</w:t>
      </w:r>
    </w:p>
    <w:p w14:paraId="4102F675" w14:textId="77777777" w:rsidR="00884F64" w:rsidRPr="00884F64" w:rsidRDefault="00884F64" w:rsidP="00884F64">
      <w:pPr>
        <w:numPr>
          <w:ilvl w:val="0"/>
          <w:numId w:val="12"/>
        </w:numPr>
        <w:rPr>
          <w:rFonts w:ascii="Times New Roman" w:hAnsi="Times New Roman" w:cs="Times New Roman"/>
        </w:rPr>
      </w:pPr>
      <w:r w:rsidRPr="00884F64">
        <w:rPr>
          <w:rFonts w:ascii="Times New Roman" w:hAnsi="Times New Roman" w:cs="Times New Roman"/>
        </w:rPr>
        <w:t>smart medication devices.</w:t>
      </w:r>
    </w:p>
    <w:p w14:paraId="29B5AB11"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IoMT devices can reduce manual data entry and enable higher-frequency monitoring. For example, a heart-failure patient could record daily weight through a connected scale. A clinically </w:t>
      </w:r>
      <w:r w:rsidRPr="00884F64">
        <w:rPr>
          <w:rFonts w:ascii="Times New Roman" w:hAnsi="Times New Roman" w:cs="Times New Roman"/>
        </w:rPr>
        <w:lastRenderedPageBreak/>
        <w:t>meaningful increase, combined with symptoms, might indicate fluid retention and trigger clinical review.</w:t>
      </w:r>
    </w:p>
    <w:p w14:paraId="3970665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However, connected devices create additional technical requirements: reliable connectivity, device calibration, patient identity matching, secure transmission, battery management, technical support and interoperability.</w:t>
      </w:r>
    </w:p>
    <w:p w14:paraId="28141105"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Consumer wearables also differ from regulated clinical devices. Hospitals should therefore define which information is suitable for clinical decision-making rather than assuming that all digitally generated measurements have equivalent validity.</w:t>
      </w:r>
    </w:p>
    <w:p w14:paraId="24DDC3BC" w14:textId="5CA9AAB2" w:rsidR="00884F64" w:rsidRPr="00884F64" w:rsidRDefault="00884F64" w:rsidP="00884F64">
      <w:pPr>
        <w:rPr>
          <w:rFonts w:ascii="Times New Roman" w:hAnsi="Times New Roman" w:cs="Times New Roman"/>
        </w:rPr>
      </w:pPr>
    </w:p>
    <w:p w14:paraId="6AAAD1BF"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3.5 Patient-Facing Digital Tools</w:t>
      </w:r>
    </w:p>
    <w:p w14:paraId="363D6D0C"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Digital healthcare increasingly makes patients active participants in information exchange.</w:t>
      </w:r>
    </w:p>
    <w:p w14:paraId="6D8D24F9"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Patient-facing applications can provide:</w:t>
      </w:r>
    </w:p>
    <w:p w14:paraId="5AD04676"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Before care:</w:t>
      </w:r>
      <w:r w:rsidRPr="00884F64">
        <w:rPr>
          <w:rFonts w:ascii="Times New Roman" w:hAnsi="Times New Roman" w:cs="Times New Roman"/>
        </w:rPr>
        <w:t xml:space="preserve"> appointment booking, digital registration and questionnaires.</w:t>
      </w:r>
    </w:p>
    <w:p w14:paraId="032C0D30"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During care:</w:t>
      </w:r>
      <w:r w:rsidRPr="00884F64">
        <w:rPr>
          <w:rFonts w:ascii="Times New Roman" w:hAnsi="Times New Roman" w:cs="Times New Roman"/>
        </w:rPr>
        <w:t xml:space="preserve"> teleconsultations, medication information and remote measurements.</w:t>
      </w:r>
    </w:p>
    <w:p w14:paraId="4C02A8A1"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After care:</w:t>
      </w:r>
      <w:r w:rsidRPr="00884F64">
        <w:rPr>
          <w:rFonts w:ascii="Times New Roman" w:hAnsi="Times New Roman" w:cs="Times New Roman"/>
        </w:rPr>
        <w:t xml:space="preserve"> follow-up reminders, results, rehabilitation programmes and secure communication.</w:t>
      </w:r>
    </w:p>
    <w:p w14:paraId="1D0BF931"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Patient-facing tools can therefore support self-management and potentially reduce routine administrative contacts.</w:t>
      </w:r>
    </w:p>
    <w:p w14:paraId="6F6388F7"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However, adoption depends on accessibility. A technically sophisticated application provides little benefit to a patient who lacks internet connectivity, digital literacy, language support or an appropriate device.</w:t>
      </w:r>
    </w:p>
    <w:p w14:paraId="588A6676"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Digital inclusion must consequently be treated as part of service quality.</w:t>
      </w:r>
    </w:p>
    <w:p w14:paraId="5089AB16" w14:textId="740664E6" w:rsidR="00884F64" w:rsidRPr="00884F64" w:rsidRDefault="00884F64" w:rsidP="00884F64">
      <w:pPr>
        <w:rPr>
          <w:rFonts w:ascii="Times New Roman" w:hAnsi="Times New Roman" w:cs="Times New Roman"/>
        </w:rPr>
      </w:pPr>
    </w:p>
    <w:p w14:paraId="4C754C40"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3.6 Digital Care and Clinical Process Transformation</w:t>
      </w:r>
    </w:p>
    <w:p w14:paraId="4AFB043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Digital care can transform workflows in three areas.</w:t>
      </w:r>
    </w:p>
    <w:p w14:paraId="1ADECC4A"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Resource allocation</w:t>
      </w:r>
    </w:p>
    <w:p w14:paraId="704FFFD5"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Virtual triage can direct low-risk patients toward remote pathways while preserving physical capacity for patients requiring examination or intervention.</w:t>
      </w:r>
    </w:p>
    <w:p w14:paraId="48167D1F"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Outpatient monitoring</w:t>
      </w:r>
    </w:p>
    <w:p w14:paraId="21CAFA16"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Instead of waiting several months for a scheduled appointment, clinicians can potentially use longitudinal measurements to identify patients requiring earlier review.</w:t>
      </w:r>
    </w:p>
    <w:p w14:paraId="02E8E015"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lastRenderedPageBreak/>
        <w:t>Clinical processes</w:t>
      </w:r>
    </w:p>
    <w:p w14:paraId="3AE9410C"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Integrated digital platforms can support:</w:t>
      </w:r>
    </w:p>
    <w:p w14:paraId="1168417D" w14:textId="433D7841" w:rsidR="00884F64" w:rsidRPr="00884F64" w:rsidRDefault="005175EA" w:rsidP="00884F64">
      <w:pPr>
        <w:rPr>
          <w:rFonts w:ascii="Times New Roman" w:hAnsi="Times New Roman" w:cs="Times New Roman"/>
        </w:rPr>
      </w:pPr>
      <m:oMathPara>
        <m:oMath>
          <m:r>
            <m:rPr>
              <m:nor/>
            </m:rPr>
            <w:rPr>
              <w:rFonts w:ascii="Times New Roman" w:hAnsi="Times New Roman" w:cs="Times New Roman"/>
            </w:rPr>
            <m:t>Digital Registration</m:t>
          </m:r>
          <m:r>
            <w:rPr>
              <w:rFonts w:ascii="Cambria Math" w:hAnsi="Cambria Math" w:cs="Times New Roman"/>
            </w:rPr>
            <m:t>→</m:t>
          </m:r>
          <m:r>
            <m:rPr>
              <m:nor/>
            </m:rPr>
            <w:rPr>
              <w:rFonts w:ascii="Times New Roman" w:hAnsi="Times New Roman" w:cs="Times New Roman"/>
            </w:rPr>
            <m:t>Teleconsultation</m:t>
          </m:r>
          <m:r>
            <w:rPr>
              <w:rFonts w:ascii="Cambria Math" w:hAnsi="Cambria Math" w:cs="Times New Roman"/>
            </w:rPr>
            <m:t>→</m:t>
          </m:r>
          <m:r>
            <m:rPr>
              <m:nor/>
            </m:rPr>
            <w:rPr>
              <w:rFonts w:ascii="Times New Roman" w:hAnsi="Times New Roman" w:cs="Times New Roman"/>
            </w:rPr>
            <m:t>E-Prescription</m:t>
          </m:r>
          <m:r>
            <w:rPr>
              <w:rFonts w:ascii="Cambria Math" w:hAnsi="Cambria Math" w:cs="Times New Roman"/>
            </w:rPr>
            <m:t>→</m:t>
          </m:r>
          <m:r>
            <m:rPr>
              <m:nor/>
            </m:rPr>
            <w:rPr>
              <w:rFonts w:ascii="Times New Roman" w:hAnsi="Times New Roman" w:cs="Times New Roman"/>
            </w:rPr>
            <m:t>RPM</m:t>
          </m:r>
          <m:r>
            <w:rPr>
              <w:rFonts w:ascii="Cambria Math" w:hAnsi="Cambria Math" w:cs="Times New Roman"/>
            </w:rPr>
            <m:t>→</m:t>
          </m:r>
          <m:r>
            <m:rPr>
              <m:nor/>
            </m:rPr>
            <w:rPr>
              <w:rFonts w:ascii="Times New Roman" w:hAnsi="Times New Roman" w:cs="Times New Roman"/>
            </w:rPr>
            <m:t>Follow-up</m:t>
          </m:r>
          <m:r>
            <w:rPr>
              <w:rFonts w:ascii="Times New Roman" w:hAnsi="Times New Roman" w:cs="Times New Roman"/>
            </w:rPr>
            <w:br/>
          </m:r>
        </m:oMath>
      </m:oMathPara>
      <w:r w:rsidR="00884F64" w:rsidRPr="00884F64">
        <w:rPr>
          <w:rFonts w:ascii="Times New Roman" w:hAnsi="Times New Roman" w:cs="Times New Roman"/>
        </w:rPr>
        <w:t>The main efficiency gain therefore comes from redesigning the entire pathway rather than digitising individual tasks independently.</w:t>
      </w:r>
    </w:p>
    <w:p w14:paraId="67A51EEA"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pict w14:anchorId="65A8D46E">
          <v:rect id="_x0000_i1609" style="width:0;height:1.5pt" o:hralign="center" o:hrstd="t" o:hr="t" fillcolor="#a0a0a0" stroked="f"/>
        </w:pict>
      </w:r>
    </w:p>
    <w:p w14:paraId="449FF44A"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3.7 Human and Organisational Adoption</w:t>
      </w:r>
    </w:p>
    <w:p w14:paraId="476B8955"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Digital transformation frequently fails because organisations focus on technology while underestimating people and workflow.</w:t>
      </w:r>
    </w:p>
    <w:p w14:paraId="0380628A"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Clinicians may resist digital care because of concerns about workload, reliability, liability, loss of professional autonomy or reduced quality of patient interaction.</w:t>
      </w:r>
    </w:p>
    <w:p w14:paraId="6F5107B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Patients may resist because of low digital confidence, privacy concerns or preference for face-to-face care.</w:t>
      </w:r>
    </w:p>
    <w:p w14:paraId="12A30C65"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Managers may underestimate the additional work created by monitoring.</w:t>
      </w:r>
    </w:p>
    <w:p w14:paraId="141F48A6"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practical equation is therefore:</w:t>
      </w:r>
    </w:p>
    <w:p w14:paraId="29F5C6D6" w14:textId="4AF58D37" w:rsidR="00884F64" w:rsidRPr="00884F64" w:rsidRDefault="005175EA" w:rsidP="00884F64">
      <w:pPr>
        <w:rPr>
          <w:rFonts w:ascii="Times New Roman" w:hAnsi="Times New Roman" w:cs="Times New Roman"/>
        </w:rPr>
      </w:pPr>
      <m:oMathPara>
        <m:oMath>
          <m:borderBox>
            <m:borderBoxPr>
              <m:ctrlPr>
                <w:rPr>
                  <w:rFonts w:ascii="Cambria Math" w:hAnsi="Cambria Math" w:cs="Times New Roman"/>
                </w:rPr>
              </m:ctrlPr>
            </m:borderBoxPr>
            <m:e>
              <m:r>
                <w:rPr>
                  <w:rFonts w:ascii="Cambria Math" w:hAnsi="Cambria Math" w:cs="Times New Roman"/>
                </w:rPr>
                <m:t>Digital Transformation=Technology+Workflow+People+Governance</m:t>
              </m:r>
            </m:e>
          </m:borderBox>
          <m:r>
            <w:rPr>
              <w:rFonts w:ascii="Times New Roman" w:hAnsi="Times New Roman" w:cs="Times New Roman"/>
            </w:rPr>
            <w:br/>
          </m:r>
        </m:oMath>
      </m:oMathPara>
      <w:r w:rsidR="00884F64" w:rsidRPr="00884F64">
        <w:rPr>
          <w:rFonts w:ascii="Times New Roman" w:hAnsi="Times New Roman" w:cs="Times New Roman"/>
        </w:rPr>
        <w:t>rather than:</w:t>
      </w:r>
    </w:p>
    <w:p w14:paraId="59D3650D" w14:textId="1DD88967" w:rsidR="005175EA" w:rsidRDefault="005175EA" w:rsidP="00884F64">
      <w:pPr>
        <w:rPr>
          <w:rFonts w:ascii="Times New Roman" w:hAnsi="Times New Roman" w:cs="Times New Roman"/>
        </w:rPr>
      </w:pPr>
      <m:oMathPara>
        <m:oMath>
          <m:r>
            <w:rPr>
              <w:rFonts w:ascii="Cambria Math" w:hAnsi="Cambria Math" w:cs="Times New Roman"/>
            </w:rPr>
            <m:t>Digital Transformation=Technology</m:t>
          </m:r>
          <m:r>
            <w:rPr>
              <w:rFonts w:ascii="Times New Roman" w:hAnsi="Times New Roman" w:cs="Times New Roman"/>
            </w:rPr>
            <w:br/>
          </m:r>
        </m:oMath>
      </m:oMathPara>
    </w:p>
    <w:p w14:paraId="2767CDAA" w14:textId="77777777" w:rsidR="005175EA" w:rsidRDefault="005175EA" w:rsidP="00884F64">
      <w:pPr>
        <w:rPr>
          <w:rFonts w:ascii="Times New Roman" w:hAnsi="Times New Roman" w:cs="Times New Roman"/>
        </w:rPr>
      </w:pPr>
    </w:p>
    <w:p w14:paraId="29DCAD90" w14:textId="77777777" w:rsidR="005175EA" w:rsidRDefault="005175EA" w:rsidP="00884F64">
      <w:pPr>
        <w:rPr>
          <w:rFonts w:ascii="Times New Roman" w:hAnsi="Times New Roman" w:cs="Times New Roman"/>
        </w:rPr>
      </w:pPr>
    </w:p>
    <w:p w14:paraId="6E9AE3B6" w14:textId="77777777" w:rsidR="005175EA" w:rsidRDefault="005175EA" w:rsidP="00884F64">
      <w:pPr>
        <w:rPr>
          <w:rFonts w:ascii="Times New Roman" w:hAnsi="Times New Roman" w:cs="Times New Roman"/>
        </w:rPr>
      </w:pPr>
    </w:p>
    <w:p w14:paraId="7D891031" w14:textId="77777777" w:rsidR="005175EA" w:rsidRDefault="005175EA" w:rsidP="00884F64">
      <w:pPr>
        <w:rPr>
          <w:rFonts w:ascii="Times New Roman" w:hAnsi="Times New Roman" w:cs="Times New Roman"/>
        </w:rPr>
      </w:pPr>
    </w:p>
    <w:p w14:paraId="255C3DCD" w14:textId="77777777" w:rsidR="005175EA" w:rsidRDefault="005175EA" w:rsidP="00884F64">
      <w:pPr>
        <w:rPr>
          <w:rFonts w:ascii="Times New Roman" w:hAnsi="Times New Roman" w:cs="Times New Roman"/>
        </w:rPr>
      </w:pPr>
    </w:p>
    <w:p w14:paraId="62C5E0F7" w14:textId="77777777" w:rsidR="005175EA" w:rsidRDefault="005175EA" w:rsidP="00884F64">
      <w:pPr>
        <w:rPr>
          <w:rFonts w:ascii="Times New Roman" w:hAnsi="Times New Roman" w:cs="Times New Roman"/>
        </w:rPr>
      </w:pPr>
    </w:p>
    <w:p w14:paraId="2AAA8F18" w14:textId="77777777" w:rsidR="005175EA" w:rsidRDefault="005175EA" w:rsidP="00884F64">
      <w:pPr>
        <w:rPr>
          <w:rFonts w:ascii="Times New Roman" w:hAnsi="Times New Roman" w:cs="Times New Roman"/>
        </w:rPr>
      </w:pPr>
    </w:p>
    <w:p w14:paraId="7D1A9567" w14:textId="77777777" w:rsidR="005175EA" w:rsidRDefault="005175EA" w:rsidP="00884F64">
      <w:pPr>
        <w:rPr>
          <w:rFonts w:ascii="Times New Roman" w:hAnsi="Times New Roman" w:cs="Times New Roman"/>
        </w:rPr>
      </w:pPr>
    </w:p>
    <w:p w14:paraId="5A67C14A" w14:textId="77777777" w:rsidR="005175EA" w:rsidRDefault="005175EA" w:rsidP="00884F64">
      <w:pPr>
        <w:rPr>
          <w:rFonts w:ascii="Times New Roman" w:hAnsi="Times New Roman" w:cs="Times New Roman"/>
        </w:rPr>
      </w:pPr>
    </w:p>
    <w:p w14:paraId="1850D723" w14:textId="77777777" w:rsidR="005175EA" w:rsidRDefault="005175EA" w:rsidP="00884F64">
      <w:pPr>
        <w:rPr>
          <w:rFonts w:ascii="Times New Roman" w:hAnsi="Times New Roman" w:cs="Times New Roman"/>
        </w:rPr>
      </w:pPr>
    </w:p>
    <w:p w14:paraId="432562BF" w14:textId="036521EE" w:rsidR="00884F64" w:rsidRPr="005175EA" w:rsidRDefault="00884F64" w:rsidP="00884F64">
      <w:pPr>
        <w:rPr>
          <w:rFonts w:ascii="Times New Roman" w:hAnsi="Times New Roman" w:cs="Times New Roman"/>
        </w:rPr>
      </w:pPr>
      <w:r w:rsidRPr="00884F64">
        <w:rPr>
          <w:rFonts w:ascii="Times New Roman" w:hAnsi="Times New Roman" w:cs="Times New Roman"/>
          <w:b/>
          <w:bCs/>
        </w:rPr>
        <w:lastRenderedPageBreak/>
        <w:t>4. Methodology</w:t>
      </w:r>
    </w:p>
    <w:p w14:paraId="0C4A0CC9"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This report adopts a </w:t>
      </w:r>
      <w:r w:rsidRPr="00884F64">
        <w:rPr>
          <w:rFonts w:ascii="Times New Roman" w:hAnsi="Times New Roman" w:cs="Times New Roman"/>
          <w:b/>
          <w:bCs/>
        </w:rPr>
        <w:t>structured secondary-research and case-analysis methodology</w:t>
      </w:r>
      <w:r w:rsidRPr="00884F64">
        <w:rPr>
          <w:rFonts w:ascii="Times New Roman" w:hAnsi="Times New Roman" w:cs="Times New Roman"/>
        </w:rPr>
        <w:t>. Peer-reviewed literature was examined across telemedicine, RPM, health economics, patient outcomes and digital-care implementation.</w:t>
      </w:r>
    </w:p>
    <w:p w14:paraId="0FD934DE" w14:textId="77777777" w:rsidR="00884F64" w:rsidRPr="00884F64" w:rsidRDefault="00884F64" w:rsidP="00884F64">
      <w:pPr>
        <w:rPr>
          <w:rFonts w:ascii="Times New Roman" w:hAnsi="Times New Roman" w:cs="Times New Roman"/>
        </w:rPr>
      </w:pPr>
      <w:proofErr w:type="gramStart"/>
      <w:r w:rsidRPr="00884F64">
        <w:rPr>
          <w:rFonts w:ascii="Times New Roman" w:hAnsi="Times New Roman" w:cs="Times New Roman"/>
        </w:rPr>
        <w:t>Particular weight</w:t>
      </w:r>
      <w:proofErr w:type="gramEnd"/>
      <w:r w:rsidRPr="00884F64">
        <w:rPr>
          <w:rFonts w:ascii="Times New Roman" w:hAnsi="Times New Roman" w:cs="Times New Roman"/>
        </w:rPr>
        <w:t xml:space="preserve"> was given to systematic reviews because individual RPM studies can produce condition-specific results that should not be generalised to entire healthcare systems.</w:t>
      </w:r>
    </w:p>
    <w:p w14:paraId="1ACDE4D2" w14:textId="31D6AF16"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Tan et al.'s 2024 systematic review screened 2,606 records and included 29 studies across 16 countries, covering communication tools, computer systems, smartphone applications, portals, monitoring-enabled clinical devices, wearables and conventional monitoring equipment. </w:t>
      </w:r>
      <w:hyperlink r:id="rId11" w:history="1">
        <w:r>
          <w:rPr>
            <w:rStyle w:val="Hyperlink"/>
            <w:rFonts w:ascii="Times New Roman" w:hAnsi="Times New Roman" w:cs="Times New Roman"/>
          </w:rPr>
          <w:t xml:space="preserve">  </w:t>
        </w:r>
      </w:hyperlink>
      <w:r w:rsidRPr="00884F64">
        <w:rPr>
          <w:rFonts w:ascii="Times New Roman" w:hAnsi="Times New Roman" w:cs="Times New Roman"/>
        </w:rPr>
        <w:t xml:space="preserve"> Taylor et al.'s review of acute-care utilisation included 91 studies. </w:t>
      </w:r>
      <w:hyperlink r:id="rId12" w:history="1">
        <w:r>
          <w:rPr>
            <w:rStyle w:val="Hyperlink"/>
            <w:rFonts w:ascii="Times New Roman" w:hAnsi="Times New Roman" w:cs="Times New Roman"/>
          </w:rPr>
          <w:t xml:space="preserve">  </w:t>
        </w:r>
      </w:hyperlink>
      <w:r w:rsidRPr="00884F64">
        <w:rPr>
          <w:rFonts w:ascii="Times New Roman" w:hAnsi="Times New Roman" w:cs="Times New Roman"/>
        </w:rPr>
        <w:t xml:space="preserve"> De Guzman et al. examined 34 economic evaluations of non-invasive RPM for chronic disease. </w:t>
      </w:r>
    </w:p>
    <w:p w14:paraId="67CFFA4B"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report evaluates digital care across six dimensions:</w:t>
      </w:r>
    </w:p>
    <w:p w14:paraId="1D1FDFC0" w14:textId="76133B6D" w:rsidR="00884F64" w:rsidRPr="00884F64" w:rsidRDefault="005175EA" w:rsidP="00884F64">
      <w:pPr>
        <w:rPr>
          <w:rFonts w:ascii="Times New Roman" w:hAnsi="Times New Roman" w:cs="Times New Roman"/>
        </w:rPr>
      </w:pPr>
      <m:oMathPara>
        <m:oMath>
          <m:r>
            <w:rPr>
              <w:rFonts w:ascii="Cambria Math" w:hAnsi="Cambria Math" w:cs="Times New Roman"/>
            </w:rPr>
            <m:t>DVC=f</m:t>
          </m:r>
          <m:d>
            <m:dPr>
              <m:ctrlPr>
                <w:rPr>
                  <w:rFonts w:ascii="Cambria Math" w:hAnsi="Cambria Math" w:cs="Times New Roman"/>
                </w:rPr>
              </m:ctrlPr>
            </m:dPr>
            <m:e>
              <m:r>
                <w:rPr>
                  <w:rFonts w:ascii="Cambria Math" w:hAnsi="Cambria Math" w:cs="Times New Roman"/>
                </w:rPr>
                <m:t>O,C,F,P,W,E</m:t>
              </m:r>
            </m:e>
          </m:d>
          <m:r>
            <w:rPr>
              <w:rFonts w:ascii="Times New Roman" w:hAnsi="Times New Roman" w:cs="Times New Roman"/>
            </w:rPr>
            <w:br/>
          </m:r>
        </m:oMath>
      </m:oMathPara>
      <w:r w:rsidR="00884F64" w:rsidRPr="00884F64">
        <w:rPr>
          <w:rFonts w:ascii="Times New Roman" w:hAnsi="Times New Roman" w:cs="Times New Roman"/>
        </w:rPr>
        <w:t>where:</w:t>
      </w:r>
    </w:p>
    <w:p w14:paraId="6AD77BA0" w14:textId="77777777" w:rsidR="00884F64" w:rsidRPr="00884F64" w:rsidRDefault="00884F64" w:rsidP="00884F64">
      <w:pPr>
        <w:numPr>
          <w:ilvl w:val="0"/>
          <w:numId w:val="13"/>
        </w:numPr>
        <w:rPr>
          <w:rFonts w:ascii="Times New Roman" w:hAnsi="Times New Roman" w:cs="Times New Roman"/>
        </w:rPr>
      </w:pPr>
      <w:r w:rsidRPr="00884F64">
        <w:rPr>
          <w:rFonts w:ascii="Times New Roman" w:hAnsi="Times New Roman" w:cs="Times New Roman"/>
        </w:rPr>
        <w:t>\(O\) = operational efficiency;</w:t>
      </w:r>
    </w:p>
    <w:p w14:paraId="67AE8FC6" w14:textId="77777777" w:rsidR="00884F64" w:rsidRPr="00884F64" w:rsidRDefault="00884F64" w:rsidP="00884F64">
      <w:pPr>
        <w:numPr>
          <w:ilvl w:val="0"/>
          <w:numId w:val="13"/>
        </w:numPr>
        <w:rPr>
          <w:rFonts w:ascii="Times New Roman" w:hAnsi="Times New Roman" w:cs="Times New Roman"/>
        </w:rPr>
      </w:pPr>
      <w:r w:rsidRPr="00884F64">
        <w:rPr>
          <w:rFonts w:ascii="Times New Roman" w:hAnsi="Times New Roman" w:cs="Times New Roman"/>
        </w:rPr>
        <w:t>\(C\) = clinical outcomes;</w:t>
      </w:r>
    </w:p>
    <w:p w14:paraId="2ECE9970" w14:textId="77777777" w:rsidR="00884F64" w:rsidRPr="00884F64" w:rsidRDefault="00884F64" w:rsidP="00884F64">
      <w:pPr>
        <w:numPr>
          <w:ilvl w:val="0"/>
          <w:numId w:val="13"/>
        </w:numPr>
        <w:rPr>
          <w:rFonts w:ascii="Times New Roman" w:hAnsi="Times New Roman" w:cs="Times New Roman"/>
        </w:rPr>
      </w:pPr>
      <w:r w:rsidRPr="00884F64">
        <w:rPr>
          <w:rFonts w:ascii="Times New Roman" w:hAnsi="Times New Roman" w:cs="Times New Roman"/>
        </w:rPr>
        <w:t>\(F\) = financial outcomes;</w:t>
      </w:r>
    </w:p>
    <w:p w14:paraId="46E136DA" w14:textId="77777777" w:rsidR="00884F64" w:rsidRPr="00884F64" w:rsidRDefault="00884F64" w:rsidP="00884F64">
      <w:pPr>
        <w:numPr>
          <w:ilvl w:val="0"/>
          <w:numId w:val="13"/>
        </w:numPr>
        <w:rPr>
          <w:rFonts w:ascii="Times New Roman" w:hAnsi="Times New Roman" w:cs="Times New Roman"/>
        </w:rPr>
      </w:pPr>
      <w:r w:rsidRPr="00884F64">
        <w:rPr>
          <w:rFonts w:ascii="Times New Roman" w:hAnsi="Times New Roman" w:cs="Times New Roman"/>
        </w:rPr>
        <w:t>\(P\) = patient experience;</w:t>
      </w:r>
    </w:p>
    <w:p w14:paraId="490228E1" w14:textId="77777777" w:rsidR="00884F64" w:rsidRPr="00884F64" w:rsidRDefault="00884F64" w:rsidP="00884F64">
      <w:pPr>
        <w:numPr>
          <w:ilvl w:val="0"/>
          <w:numId w:val="13"/>
        </w:numPr>
        <w:rPr>
          <w:rFonts w:ascii="Times New Roman" w:hAnsi="Times New Roman" w:cs="Times New Roman"/>
        </w:rPr>
      </w:pPr>
      <w:r w:rsidRPr="00884F64">
        <w:rPr>
          <w:rFonts w:ascii="Times New Roman" w:hAnsi="Times New Roman" w:cs="Times New Roman"/>
        </w:rPr>
        <w:t>\(W\) = workforce impact;</w:t>
      </w:r>
    </w:p>
    <w:p w14:paraId="72E717DA" w14:textId="77777777" w:rsidR="00884F64" w:rsidRPr="00884F64" w:rsidRDefault="00884F64" w:rsidP="00884F64">
      <w:pPr>
        <w:numPr>
          <w:ilvl w:val="0"/>
          <w:numId w:val="13"/>
        </w:numPr>
        <w:rPr>
          <w:rFonts w:ascii="Times New Roman" w:hAnsi="Times New Roman" w:cs="Times New Roman"/>
        </w:rPr>
      </w:pPr>
      <w:r w:rsidRPr="00884F64">
        <w:rPr>
          <w:rFonts w:ascii="Times New Roman" w:hAnsi="Times New Roman" w:cs="Times New Roman"/>
        </w:rPr>
        <w:t>\(E\) = equity/access.</w:t>
      </w:r>
    </w:p>
    <w:p w14:paraId="268AF76A"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A limitation is that interventions labelled "telemedicine" or "RPM" differ substantially in technology, disease, intensity and workflow. Therefore, evidence should not be interpreted as demonstrating one universal effect.</w:t>
      </w:r>
    </w:p>
    <w:p w14:paraId="3C4262AB" w14:textId="5ADBB5AA" w:rsidR="00884F64" w:rsidRDefault="00884F64" w:rsidP="00884F64">
      <w:pPr>
        <w:rPr>
          <w:rFonts w:ascii="Times New Roman" w:hAnsi="Times New Roman" w:cs="Times New Roman"/>
        </w:rPr>
      </w:pPr>
    </w:p>
    <w:p w14:paraId="3F13BCCA" w14:textId="77777777" w:rsidR="005175EA" w:rsidRDefault="005175EA" w:rsidP="00884F64">
      <w:pPr>
        <w:rPr>
          <w:rFonts w:ascii="Times New Roman" w:hAnsi="Times New Roman" w:cs="Times New Roman"/>
        </w:rPr>
      </w:pPr>
    </w:p>
    <w:p w14:paraId="3A70D4BA" w14:textId="77777777" w:rsidR="005175EA" w:rsidRDefault="005175EA" w:rsidP="00884F64">
      <w:pPr>
        <w:rPr>
          <w:rFonts w:ascii="Times New Roman" w:hAnsi="Times New Roman" w:cs="Times New Roman"/>
        </w:rPr>
      </w:pPr>
    </w:p>
    <w:p w14:paraId="5FBD33B6" w14:textId="77777777" w:rsidR="005175EA" w:rsidRDefault="005175EA" w:rsidP="00884F64">
      <w:pPr>
        <w:rPr>
          <w:rFonts w:ascii="Times New Roman" w:hAnsi="Times New Roman" w:cs="Times New Roman"/>
        </w:rPr>
      </w:pPr>
    </w:p>
    <w:p w14:paraId="56EE7B84" w14:textId="77777777" w:rsidR="005175EA" w:rsidRDefault="005175EA" w:rsidP="00884F64">
      <w:pPr>
        <w:rPr>
          <w:rFonts w:ascii="Times New Roman" w:hAnsi="Times New Roman" w:cs="Times New Roman"/>
        </w:rPr>
      </w:pPr>
    </w:p>
    <w:p w14:paraId="6771B0F7" w14:textId="77777777" w:rsidR="005175EA" w:rsidRDefault="005175EA" w:rsidP="00884F64">
      <w:pPr>
        <w:rPr>
          <w:rFonts w:ascii="Times New Roman" w:hAnsi="Times New Roman" w:cs="Times New Roman"/>
        </w:rPr>
      </w:pPr>
    </w:p>
    <w:p w14:paraId="5478545B" w14:textId="77777777" w:rsidR="005175EA" w:rsidRPr="00884F64" w:rsidRDefault="005175EA" w:rsidP="00884F64">
      <w:pPr>
        <w:rPr>
          <w:rFonts w:ascii="Times New Roman" w:hAnsi="Times New Roman" w:cs="Times New Roman"/>
        </w:rPr>
      </w:pPr>
    </w:p>
    <w:p w14:paraId="59D006B2"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lastRenderedPageBreak/>
        <w:t>5. Findings</w:t>
      </w:r>
    </w:p>
    <w:p w14:paraId="1C9DCCEF"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5.1 Proposed Digital-Care Architecture</w:t>
      </w:r>
    </w:p>
    <w:p w14:paraId="6CCBA05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A mid-sized hospital should adopt an integrated architecture:</w:t>
      </w:r>
    </w:p>
    <w:p w14:paraId="5AD45B84"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Patients at Home</w:t>
      </w:r>
    </w:p>
    <w:p w14:paraId="1FC7AC4C"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4A29B52D"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Telemedicine + Patient App + IoMT Devices</w:t>
      </w:r>
    </w:p>
    <w:p w14:paraId="3D1869D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6CA07B66"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Secure Digital-Care Platform</w:t>
      </w:r>
    </w:p>
    <w:p w14:paraId="63AAD749"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2C1206A1"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Rules Engine / Risk Stratification</w:t>
      </w:r>
    </w:p>
    <w:p w14:paraId="4A9512AC"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53FA3590"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Virtual Monitoring Hub</w:t>
      </w:r>
    </w:p>
    <w:p w14:paraId="40E5B06D"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46AE1AA4"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Nurse → Physician → Emergency Escalation</w:t>
      </w:r>
    </w:p>
    <w:p w14:paraId="2040E5A3"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74B672CE"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EHR / Pharmacy / Laboratory / Scheduling</w:t>
      </w:r>
    </w:p>
    <w:p w14:paraId="165F4BD0"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60EC3185"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Analytics and Management Dashboard</w:t>
      </w:r>
    </w:p>
    <w:p w14:paraId="603495AE"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Security, consent and identity management should operate across every layer.</w:t>
      </w:r>
    </w:p>
    <w:p w14:paraId="5C5F104C"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key design requirement is EHR integration. Clinical decisions made remotely should become part of the patient's longitudinal health record.</w:t>
      </w:r>
    </w:p>
    <w:p w14:paraId="46011684" w14:textId="2748FE34" w:rsidR="00884F64" w:rsidRDefault="00884F64" w:rsidP="00884F64">
      <w:pPr>
        <w:rPr>
          <w:rFonts w:ascii="Times New Roman" w:hAnsi="Times New Roman" w:cs="Times New Roman"/>
        </w:rPr>
      </w:pPr>
    </w:p>
    <w:p w14:paraId="3B832B66" w14:textId="77777777" w:rsidR="005175EA" w:rsidRDefault="005175EA" w:rsidP="00884F64">
      <w:pPr>
        <w:rPr>
          <w:rFonts w:ascii="Times New Roman" w:hAnsi="Times New Roman" w:cs="Times New Roman"/>
        </w:rPr>
      </w:pPr>
    </w:p>
    <w:p w14:paraId="436C4B30" w14:textId="77777777" w:rsidR="005175EA" w:rsidRDefault="005175EA" w:rsidP="00884F64">
      <w:pPr>
        <w:rPr>
          <w:rFonts w:ascii="Times New Roman" w:hAnsi="Times New Roman" w:cs="Times New Roman"/>
        </w:rPr>
      </w:pPr>
    </w:p>
    <w:p w14:paraId="4341F925" w14:textId="77777777" w:rsidR="005175EA" w:rsidRDefault="005175EA" w:rsidP="00884F64">
      <w:pPr>
        <w:rPr>
          <w:rFonts w:ascii="Times New Roman" w:hAnsi="Times New Roman" w:cs="Times New Roman"/>
        </w:rPr>
      </w:pPr>
    </w:p>
    <w:p w14:paraId="789C1459" w14:textId="77777777" w:rsidR="005175EA" w:rsidRDefault="005175EA" w:rsidP="00884F64">
      <w:pPr>
        <w:rPr>
          <w:rFonts w:ascii="Times New Roman" w:hAnsi="Times New Roman" w:cs="Times New Roman"/>
        </w:rPr>
      </w:pPr>
    </w:p>
    <w:p w14:paraId="34C6771A" w14:textId="77777777" w:rsidR="005175EA" w:rsidRPr="00884F64" w:rsidRDefault="005175EA" w:rsidP="00884F64">
      <w:pPr>
        <w:rPr>
          <w:rFonts w:ascii="Times New Roman" w:hAnsi="Times New Roman" w:cs="Times New Roman"/>
        </w:rPr>
      </w:pPr>
    </w:p>
    <w:p w14:paraId="32C996CD"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lastRenderedPageBreak/>
        <w:t>5.2 Telemedicine and Resource Management</w:t>
      </w:r>
    </w:p>
    <w:p w14:paraId="7AAB0FE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Telemedicine can potentially improve resource utilisation by separating encounters that require physical infrastructure from those that do not.</w:t>
      </w:r>
    </w:p>
    <w:p w14:paraId="0F8F3F6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For example, a stable patient requiring a medication review may not need an examination room. Moving suitable follow-ups online can preserve clinic space and staff capacity for more complex patients.</w:t>
      </w:r>
    </w:p>
    <w:p w14:paraId="057F5A50"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A practical triage model is:</w:t>
      </w:r>
    </w:p>
    <w:tbl>
      <w:tblPr>
        <w:tblStyle w:val="TableGrid"/>
        <w:tblW w:w="0" w:type="auto"/>
        <w:tblLook w:val="04A0" w:firstRow="1" w:lastRow="0" w:firstColumn="1" w:lastColumn="0" w:noHBand="0" w:noVBand="1"/>
      </w:tblPr>
      <w:tblGrid>
        <w:gridCol w:w="1669"/>
        <w:gridCol w:w="3049"/>
      </w:tblGrid>
      <w:tr w:rsidR="00884F64" w:rsidRPr="00884F64" w14:paraId="0D61D0BE" w14:textId="77777777" w:rsidTr="005175EA">
        <w:tc>
          <w:tcPr>
            <w:tcW w:w="0" w:type="auto"/>
            <w:hideMark/>
          </w:tcPr>
          <w:p w14:paraId="01B85C06"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Risk</w:t>
            </w:r>
          </w:p>
        </w:tc>
        <w:tc>
          <w:tcPr>
            <w:tcW w:w="0" w:type="auto"/>
            <w:hideMark/>
          </w:tcPr>
          <w:p w14:paraId="18AF050F"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Care pathway</w:t>
            </w:r>
          </w:p>
        </w:tc>
      </w:tr>
      <w:tr w:rsidR="00884F64" w:rsidRPr="00884F64" w14:paraId="04E8C66A" w14:textId="77777777" w:rsidTr="005175EA">
        <w:tc>
          <w:tcPr>
            <w:tcW w:w="0" w:type="auto"/>
            <w:hideMark/>
          </w:tcPr>
          <w:p w14:paraId="7C91CDA8"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Low</w:t>
            </w:r>
          </w:p>
        </w:tc>
        <w:tc>
          <w:tcPr>
            <w:tcW w:w="0" w:type="auto"/>
            <w:hideMark/>
          </w:tcPr>
          <w:p w14:paraId="008B8E8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Digital self-service/education</w:t>
            </w:r>
          </w:p>
        </w:tc>
      </w:tr>
      <w:tr w:rsidR="00884F64" w:rsidRPr="00884F64" w14:paraId="1E34AF8A" w14:textId="77777777" w:rsidTr="005175EA">
        <w:tc>
          <w:tcPr>
            <w:tcW w:w="0" w:type="auto"/>
            <w:hideMark/>
          </w:tcPr>
          <w:p w14:paraId="71108867"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Low–moderate</w:t>
            </w:r>
          </w:p>
        </w:tc>
        <w:tc>
          <w:tcPr>
            <w:tcW w:w="0" w:type="auto"/>
            <w:hideMark/>
          </w:tcPr>
          <w:p w14:paraId="224DD016"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Teleconsultation</w:t>
            </w:r>
          </w:p>
        </w:tc>
      </w:tr>
      <w:tr w:rsidR="00884F64" w:rsidRPr="00884F64" w14:paraId="60C7DFBA" w14:textId="77777777" w:rsidTr="005175EA">
        <w:tc>
          <w:tcPr>
            <w:tcW w:w="0" w:type="auto"/>
            <w:hideMark/>
          </w:tcPr>
          <w:p w14:paraId="663F08EA"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Moderate</w:t>
            </w:r>
          </w:p>
        </w:tc>
        <w:tc>
          <w:tcPr>
            <w:tcW w:w="0" w:type="auto"/>
            <w:hideMark/>
          </w:tcPr>
          <w:p w14:paraId="1B45D34D"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RPM + virtual review</w:t>
            </w:r>
          </w:p>
        </w:tc>
      </w:tr>
      <w:tr w:rsidR="00884F64" w:rsidRPr="00884F64" w14:paraId="438FCD39" w14:textId="77777777" w:rsidTr="005175EA">
        <w:tc>
          <w:tcPr>
            <w:tcW w:w="0" w:type="auto"/>
            <w:hideMark/>
          </w:tcPr>
          <w:p w14:paraId="6EDEC998"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73E8C30D"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Physical clinic</w:t>
            </w:r>
          </w:p>
        </w:tc>
      </w:tr>
      <w:tr w:rsidR="00884F64" w:rsidRPr="00884F64" w14:paraId="07788832" w14:textId="77777777" w:rsidTr="005175EA">
        <w:tc>
          <w:tcPr>
            <w:tcW w:w="0" w:type="auto"/>
            <w:hideMark/>
          </w:tcPr>
          <w:p w14:paraId="7EC0D527"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Critical</w:t>
            </w:r>
          </w:p>
        </w:tc>
        <w:tc>
          <w:tcPr>
            <w:tcW w:w="0" w:type="auto"/>
            <w:hideMark/>
          </w:tcPr>
          <w:p w14:paraId="46BE2404"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Emergency care</w:t>
            </w:r>
          </w:p>
        </w:tc>
      </w:tr>
    </w:tbl>
    <w:p w14:paraId="360D985E"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model prevents the mistake of treating virtual care as a replacement for all physical care.</w:t>
      </w:r>
    </w:p>
    <w:p w14:paraId="429B1C73" w14:textId="1840CACD" w:rsidR="00884F64" w:rsidRPr="00884F64" w:rsidRDefault="00884F64" w:rsidP="00884F64">
      <w:pPr>
        <w:rPr>
          <w:rFonts w:ascii="Times New Roman" w:hAnsi="Times New Roman" w:cs="Times New Roman"/>
        </w:rPr>
      </w:pPr>
    </w:p>
    <w:p w14:paraId="539F3A7F"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5.3 RPM and Outpatient Monitoring</w:t>
      </w:r>
    </w:p>
    <w:p w14:paraId="1E94085C"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RPM can transform outpatient care from periodic observation toward risk-based surveillance.</w:t>
      </w:r>
    </w:p>
    <w:p w14:paraId="30116C51"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Consider heart failure. Daily weight, blood pressure, symptoms and heart rate can be monitored. An abnormal combination can create an alert.</w:t>
      </w:r>
    </w:p>
    <w:p w14:paraId="2775306D"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Instead of:</w:t>
      </w:r>
    </w:p>
    <w:p w14:paraId="55CF86A2"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Scheduled review every three months</w:t>
      </w:r>
    </w:p>
    <w:p w14:paraId="156CE82B"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pathway becomes:</w:t>
      </w:r>
    </w:p>
    <w:p w14:paraId="0E138201"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Routine home monitoring + exception-based clinical intervention</w:t>
      </w:r>
      <w:r w:rsidRPr="00884F64">
        <w:rPr>
          <w:rFonts w:ascii="Times New Roman" w:hAnsi="Times New Roman" w:cs="Times New Roman"/>
        </w:rPr>
        <w:t>.</w:t>
      </w:r>
    </w:p>
    <w:p w14:paraId="1D6F25AD"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Taylor et al.'s review suggests cardiovascular disease is one of the stronger areas for RPM evidence. It also reported that some large studies of invasive cardiovascular monitoring observed lower risks of hospitalisation, although results differed across technologies and populations. </w:t>
      </w:r>
      <w:hyperlink r:id="rId13" w:history="1">
        <w:r w:rsidRPr="00884F64">
          <w:rPr>
            <w:rStyle w:val="Hyperlink"/>
            <w:rFonts w:ascii="Times New Roman" w:hAnsi="Times New Roman" w:cs="Times New Roman"/>
          </w:rPr>
          <w:t>DOI</w:t>
        </w:r>
      </w:hyperlink>
    </w:p>
    <w:p w14:paraId="4C0511F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hospital should consequently prioritise clinical pathways with a plausible link between measurable physiological change and actionable intervention.</w:t>
      </w:r>
    </w:p>
    <w:p w14:paraId="79904DA8" w14:textId="08B0D24C" w:rsidR="00884F64" w:rsidRPr="00884F64" w:rsidRDefault="00884F64" w:rsidP="00884F64">
      <w:pPr>
        <w:rPr>
          <w:rFonts w:ascii="Times New Roman" w:hAnsi="Times New Roman" w:cs="Times New Roman"/>
        </w:rPr>
      </w:pPr>
    </w:p>
    <w:p w14:paraId="3000270F"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lastRenderedPageBreak/>
        <w:t>5.4 Operational Efficiency</w:t>
      </w:r>
    </w:p>
    <w:p w14:paraId="10E73C33"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Potential operational benefits include:</w:t>
      </w:r>
    </w:p>
    <w:p w14:paraId="11FD2A86" w14:textId="77777777" w:rsidR="00884F64" w:rsidRPr="00884F64" w:rsidRDefault="00884F64" w:rsidP="00884F64">
      <w:pPr>
        <w:numPr>
          <w:ilvl w:val="0"/>
          <w:numId w:val="14"/>
        </w:numPr>
        <w:rPr>
          <w:rFonts w:ascii="Times New Roman" w:hAnsi="Times New Roman" w:cs="Times New Roman"/>
        </w:rPr>
      </w:pPr>
      <w:r w:rsidRPr="00884F64">
        <w:rPr>
          <w:rFonts w:ascii="Times New Roman" w:hAnsi="Times New Roman" w:cs="Times New Roman"/>
        </w:rPr>
        <w:t>fewer unnecessary face-to-face follow-ups;</w:t>
      </w:r>
    </w:p>
    <w:p w14:paraId="385520C9" w14:textId="77777777" w:rsidR="00884F64" w:rsidRPr="00884F64" w:rsidRDefault="00884F64" w:rsidP="00884F64">
      <w:pPr>
        <w:numPr>
          <w:ilvl w:val="0"/>
          <w:numId w:val="14"/>
        </w:numPr>
        <w:rPr>
          <w:rFonts w:ascii="Times New Roman" w:hAnsi="Times New Roman" w:cs="Times New Roman"/>
        </w:rPr>
      </w:pPr>
      <w:r w:rsidRPr="00884F64">
        <w:rPr>
          <w:rFonts w:ascii="Times New Roman" w:hAnsi="Times New Roman" w:cs="Times New Roman"/>
        </w:rPr>
        <w:t>reduced patient travel;</w:t>
      </w:r>
    </w:p>
    <w:p w14:paraId="34D78B26" w14:textId="77777777" w:rsidR="00884F64" w:rsidRPr="00884F64" w:rsidRDefault="00884F64" w:rsidP="00884F64">
      <w:pPr>
        <w:numPr>
          <w:ilvl w:val="0"/>
          <w:numId w:val="14"/>
        </w:numPr>
        <w:rPr>
          <w:rFonts w:ascii="Times New Roman" w:hAnsi="Times New Roman" w:cs="Times New Roman"/>
        </w:rPr>
      </w:pPr>
      <w:r w:rsidRPr="00884F64">
        <w:rPr>
          <w:rFonts w:ascii="Times New Roman" w:hAnsi="Times New Roman" w:cs="Times New Roman"/>
        </w:rPr>
        <w:t>earlier escalation;</w:t>
      </w:r>
    </w:p>
    <w:p w14:paraId="4C01F943" w14:textId="77777777" w:rsidR="00884F64" w:rsidRPr="00884F64" w:rsidRDefault="00884F64" w:rsidP="00884F64">
      <w:pPr>
        <w:numPr>
          <w:ilvl w:val="0"/>
          <w:numId w:val="14"/>
        </w:numPr>
        <w:rPr>
          <w:rFonts w:ascii="Times New Roman" w:hAnsi="Times New Roman" w:cs="Times New Roman"/>
        </w:rPr>
      </w:pPr>
      <w:r w:rsidRPr="00884F64">
        <w:rPr>
          <w:rFonts w:ascii="Times New Roman" w:hAnsi="Times New Roman" w:cs="Times New Roman"/>
        </w:rPr>
        <w:t>improved scheduling;</w:t>
      </w:r>
    </w:p>
    <w:p w14:paraId="02C44B9F" w14:textId="77777777" w:rsidR="00884F64" w:rsidRPr="00884F64" w:rsidRDefault="00884F64" w:rsidP="00884F64">
      <w:pPr>
        <w:numPr>
          <w:ilvl w:val="0"/>
          <w:numId w:val="14"/>
        </w:numPr>
        <w:rPr>
          <w:rFonts w:ascii="Times New Roman" w:hAnsi="Times New Roman" w:cs="Times New Roman"/>
        </w:rPr>
      </w:pPr>
      <w:r w:rsidRPr="00884F64">
        <w:rPr>
          <w:rFonts w:ascii="Times New Roman" w:hAnsi="Times New Roman" w:cs="Times New Roman"/>
        </w:rPr>
        <w:t>reduced administrative telephone traffic;</w:t>
      </w:r>
    </w:p>
    <w:p w14:paraId="3F95C2CB" w14:textId="77777777" w:rsidR="00884F64" w:rsidRPr="00884F64" w:rsidRDefault="00884F64" w:rsidP="00884F64">
      <w:pPr>
        <w:numPr>
          <w:ilvl w:val="0"/>
          <w:numId w:val="14"/>
        </w:numPr>
        <w:rPr>
          <w:rFonts w:ascii="Times New Roman" w:hAnsi="Times New Roman" w:cs="Times New Roman"/>
        </w:rPr>
      </w:pPr>
      <w:r w:rsidRPr="00884F64">
        <w:rPr>
          <w:rFonts w:ascii="Times New Roman" w:hAnsi="Times New Roman" w:cs="Times New Roman"/>
        </w:rPr>
        <w:t>better prioritisation of high-risk patients;</w:t>
      </w:r>
    </w:p>
    <w:p w14:paraId="6F5EA9C8" w14:textId="77777777" w:rsidR="00884F64" w:rsidRPr="00884F64" w:rsidRDefault="00884F64" w:rsidP="00884F64">
      <w:pPr>
        <w:numPr>
          <w:ilvl w:val="0"/>
          <w:numId w:val="14"/>
        </w:numPr>
        <w:rPr>
          <w:rFonts w:ascii="Times New Roman" w:hAnsi="Times New Roman" w:cs="Times New Roman"/>
        </w:rPr>
      </w:pPr>
      <w:r w:rsidRPr="00884F64">
        <w:rPr>
          <w:rFonts w:ascii="Times New Roman" w:hAnsi="Times New Roman" w:cs="Times New Roman"/>
        </w:rPr>
        <w:t>potential reductions in avoidable acute utilisation.</w:t>
      </w:r>
    </w:p>
    <w:p w14:paraId="1DA44BCE"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However, RPM can also </w:t>
      </w:r>
      <w:r w:rsidRPr="00884F64">
        <w:rPr>
          <w:rFonts w:ascii="Times New Roman" w:hAnsi="Times New Roman" w:cs="Times New Roman"/>
          <w:b/>
          <w:bCs/>
        </w:rPr>
        <w:t>create workload</w:t>
      </w:r>
      <w:r w:rsidRPr="00884F64">
        <w:rPr>
          <w:rFonts w:ascii="Times New Roman" w:hAnsi="Times New Roman" w:cs="Times New Roman"/>
        </w:rPr>
        <w:t>.</w:t>
      </w:r>
    </w:p>
    <w:p w14:paraId="42FCD1E9"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If 500 patients each generate several measurements every day, clinicians cannot manually inspect every reading efficiently. Risk stratification is essential.</w:t>
      </w:r>
    </w:p>
    <w:p w14:paraId="780DBAB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A three-level alert system is recommended:</w:t>
      </w:r>
    </w:p>
    <w:tbl>
      <w:tblPr>
        <w:tblStyle w:val="TableGrid"/>
        <w:tblW w:w="0" w:type="auto"/>
        <w:tblLook w:val="04A0" w:firstRow="1" w:lastRow="0" w:firstColumn="1" w:lastColumn="0" w:noHBand="0" w:noVBand="1"/>
      </w:tblPr>
      <w:tblGrid>
        <w:gridCol w:w="883"/>
        <w:gridCol w:w="2726"/>
        <w:gridCol w:w="2262"/>
      </w:tblGrid>
      <w:tr w:rsidR="00884F64" w:rsidRPr="00884F64" w14:paraId="50F8FD35" w14:textId="77777777" w:rsidTr="005175EA">
        <w:tc>
          <w:tcPr>
            <w:tcW w:w="0" w:type="auto"/>
            <w:hideMark/>
          </w:tcPr>
          <w:p w14:paraId="41C043D0"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Alert</w:t>
            </w:r>
          </w:p>
        </w:tc>
        <w:tc>
          <w:tcPr>
            <w:tcW w:w="0" w:type="auto"/>
            <w:hideMark/>
          </w:tcPr>
          <w:p w14:paraId="07F653DD"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Meaning</w:t>
            </w:r>
          </w:p>
        </w:tc>
        <w:tc>
          <w:tcPr>
            <w:tcW w:w="0" w:type="auto"/>
            <w:hideMark/>
          </w:tcPr>
          <w:p w14:paraId="0FFBFBD6"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Response</w:t>
            </w:r>
          </w:p>
        </w:tc>
      </w:tr>
      <w:tr w:rsidR="00884F64" w:rsidRPr="00884F64" w14:paraId="643E0C91" w14:textId="77777777" w:rsidTr="005175EA">
        <w:tc>
          <w:tcPr>
            <w:tcW w:w="0" w:type="auto"/>
            <w:hideMark/>
          </w:tcPr>
          <w:p w14:paraId="7B16CA7E"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Green</w:t>
            </w:r>
          </w:p>
        </w:tc>
        <w:tc>
          <w:tcPr>
            <w:tcW w:w="0" w:type="auto"/>
            <w:hideMark/>
          </w:tcPr>
          <w:p w14:paraId="346347B9"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Within personalised range</w:t>
            </w:r>
          </w:p>
        </w:tc>
        <w:tc>
          <w:tcPr>
            <w:tcW w:w="0" w:type="auto"/>
            <w:hideMark/>
          </w:tcPr>
          <w:p w14:paraId="5FC35919"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No immediate action</w:t>
            </w:r>
          </w:p>
        </w:tc>
      </w:tr>
      <w:tr w:rsidR="00884F64" w:rsidRPr="00884F64" w14:paraId="4C15964A" w14:textId="77777777" w:rsidTr="005175EA">
        <w:tc>
          <w:tcPr>
            <w:tcW w:w="0" w:type="auto"/>
            <w:hideMark/>
          </w:tcPr>
          <w:p w14:paraId="3B74F383"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Amber</w:t>
            </w:r>
          </w:p>
        </w:tc>
        <w:tc>
          <w:tcPr>
            <w:tcW w:w="0" w:type="auto"/>
            <w:hideMark/>
          </w:tcPr>
          <w:p w14:paraId="10AEC475"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Moderate deviation</w:t>
            </w:r>
          </w:p>
        </w:tc>
        <w:tc>
          <w:tcPr>
            <w:tcW w:w="0" w:type="auto"/>
            <w:hideMark/>
          </w:tcPr>
          <w:p w14:paraId="1BB36425"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Nurse review</w:t>
            </w:r>
          </w:p>
        </w:tc>
      </w:tr>
      <w:tr w:rsidR="00884F64" w:rsidRPr="00884F64" w14:paraId="713968E6" w14:textId="77777777" w:rsidTr="005175EA">
        <w:tc>
          <w:tcPr>
            <w:tcW w:w="0" w:type="auto"/>
            <w:hideMark/>
          </w:tcPr>
          <w:p w14:paraId="73336D38"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Red</w:t>
            </w:r>
          </w:p>
        </w:tc>
        <w:tc>
          <w:tcPr>
            <w:tcW w:w="0" w:type="auto"/>
            <w:hideMark/>
          </w:tcPr>
          <w:p w14:paraId="16F20378"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High-risk deterioration</w:t>
            </w:r>
          </w:p>
        </w:tc>
        <w:tc>
          <w:tcPr>
            <w:tcW w:w="0" w:type="auto"/>
            <w:hideMark/>
          </w:tcPr>
          <w:p w14:paraId="5D7BCB76"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Immediate escalation</w:t>
            </w:r>
          </w:p>
        </w:tc>
      </w:tr>
    </w:tbl>
    <w:p w14:paraId="427A232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Therefore:</w:t>
      </w:r>
    </w:p>
    <w:p w14:paraId="795C866A" w14:textId="04D85EB3" w:rsidR="005175EA" w:rsidRPr="005175EA" w:rsidRDefault="005175EA" w:rsidP="005175EA">
      <w:pPr>
        <w:rPr>
          <w:rFonts w:ascii="Times New Roman" w:hAnsi="Times New Roman" w:cs="Times New Roman"/>
        </w:rPr>
      </w:pPr>
      <m:oMathPara>
        <m:oMath>
          <m:r>
            <m:rPr>
              <m:nor/>
            </m:rPr>
            <w:rPr>
              <w:rFonts w:ascii="Times New Roman" w:hAnsi="Times New Roman" w:cs="Times New Roman"/>
            </w:rPr>
            <m:t>Operational Efficiency</m:t>
          </m:r>
          <m:r>
            <w:rPr>
              <w:rFonts w:ascii="Cambria Math" w:hAnsi="Cambria Math" w:cs="Times New Roman"/>
            </w:rPr>
            <m:t>≠</m:t>
          </m:r>
          <m:r>
            <m:rPr>
              <m:nor/>
            </m:rPr>
            <w:rPr>
              <w:rFonts w:ascii="Times New Roman" w:hAnsi="Times New Roman" w:cs="Times New Roman"/>
            </w:rPr>
            <m:t>Maximum Data Collection</m:t>
          </m:r>
          <m:r>
            <w:rPr>
              <w:rFonts w:ascii="Times New Roman" w:hAnsi="Times New Roman" w:cs="Times New Roman"/>
            </w:rPr>
            <w:br/>
          </m:r>
        </m:oMath>
      </m:oMathPara>
      <w:r w:rsidRPr="005175EA">
        <w:rPr>
          <w:rFonts w:ascii="Times New Roman" w:hAnsi="Times New Roman" w:cs="Times New Roman"/>
        </w:rPr>
        <w:t>Instead:</w:t>
      </w:r>
    </w:p>
    <w:p w14:paraId="454074B7" w14:textId="7D7940E9" w:rsidR="00884F64" w:rsidRPr="00884F64" w:rsidRDefault="005175EA" w:rsidP="00884F64">
      <w:pPr>
        <w:rPr>
          <w:rFonts w:ascii="Times New Roman" w:hAnsi="Times New Roman" w:cs="Times New Roman"/>
          <w:b/>
          <w:bCs/>
        </w:rPr>
      </w:pPr>
      <m:oMathPara>
        <m:oMath>
          <m:borderBox>
            <m:borderBoxPr>
              <m:ctrlPr>
                <w:rPr>
                  <w:rFonts w:ascii="Cambria Math" w:hAnsi="Cambria Math" w:cs="Times New Roman"/>
                </w:rPr>
              </m:ctrlPr>
            </m:borderBoxPr>
            <m:e>
              <m:r>
                <m:rPr>
                  <m:nor/>
                </m:rPr>
                <w:rPr>
                  <w:rFonts w:ascii="Times New Roman" w:hAnsi="Times New Roman" w:cs="Times New Roman"/>
                </w:rPr>
                <m:t>Operational Efficiency</m:t>
              </m:r>
              <m:r>
                <w:rPr>
                  <w:rFonts w:ascii="Cambria Math" w:hAnsi="Cambria Math" w:cs="Times New Roman"/>
                </w:rPr>
                <m:t>=</m:t>
              </m:r>
              <m:r>
                <m:rPr>
                  <m:nor/>
                </m:rPr>
                <w:rPr>
                  <w:rFonts w:ascii="Times New Roman" w:hAnsi="Times New Roman" w:cs="Times New Roman"/>
                </w:rPr>
                <m:t>Relevant Data + Intelligent Filtering + Actionable Escalation</m:t>
              </m:r>
            </m:e>
          </m:borderBox>
          <m:r>
            <w:rPr>
              <w:rFonts w:ascii="Times New Roman" w:hAnsi="Times New Roman" w:cs="Times New Roman"/>
              <w:b/>
              <w:bCs/>
            </w:rPr>
            <w:br/>
          </m:r>
        </m:oMath>
      </m:oMathPara>
      <w:r w:rsidR="00884F64" w:rsidRPr="00884F64">
        <w:rPr>
          <w:rFonts w:ascii="Times New Roman" w:hAnsi="Times New Roman" w:cs="Times New Roman"/>
          <w:b/>
          <w:bCs/>
        </w:rPr>
        <w:t>5.5 Financial Outcomes and Cost-Effectiveness</w:t>
      </w:r>
    </w:p>
    <w:p w14:paraId="54CA6A18"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financial case for RPM requires balanced analysis.</w:t>
      </w:r>
    </w:p>
    <w:p w14:paraId="7454FDD9"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Potential savings arise from reduced emergency visits, admissions, length of stay, travel and physical outpatient utilisation.</w:t>
      </w:r>
    </w:p>
    <w:p w14:paraId="7B9B5395"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However, costs include:</w:t>
      </w:r>
    </w:p>
    <w:p w14:paraId="59BF535A" w14:textId="35160F22" w:rsidR="00884F64" w:rsidRPr="00884F64" w:rsidRDefault="005175EA" w:rsidP="00884F64">
      <w:pPr>
        <w:rPr>
          <w:rFonts w:ascii="Times New Roman" w:hAnsi="Times New Roman" w:cs="Times New Roman"/>
        </w:rPr>
      </w:pPr>
      <m:oMathPara>
        <m:oMath>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RPM</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devices</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platform</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integration</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staff</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training</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support</m:t>
              </m:r>
            </m:sub>
          </m:sSub>
          <m:r>
            <w:rPr>
              <w:rFonts w:ascii="Cambria Math" w:hAnsi="Cambria Math" w:cs="Times New Roman"/>
            </w:rPr>
            <m:t>+</m:t>
          </m:r>
          <m:sSub>
            <m:sSubPr>
              <m:ctrlPr>
                <w:rPr>
                  <w:rFonts w:ascii="Cambria Math" w:hAnsi="Cambria Math" w:cs="Times New Roman"/>
                </w:rPr>
              </m:ctrlPr>
            </m:sSubPr>
            <m:e>
              <m:r>
                <w:rPr>
                  <w:rFonts w:ascii="Cambria Math" w:hAnsi="Cambria Math" w:cs="Times New Roman"/>
                </w:rPr>
                <m:t>C</m:t>
              </m:r>
            </m:e>
            <m:sub>
              <m:r>
                <w:rPr>
                  <w:rFonts w:ascii="Cambria Math" w:hAnsi="Cambria Math" w:cs="Times New Roman"/>
                </w:rPr>
                <m:t>security</m:t>
              </m:r>
            </m:sub>
          </m:sSub>
          <m:r>
            <w:rPr>
              <w:rFonts w:ascii="Times New Roman" w:hAnsi="Times New Roman" w:cs="Times New Roman"/>
            </w:rPr>
            <w:br/>
          </m:r>
        </m:oMath>
      </m:oMathPara>
      <w:r w:rsidR="00884F64" w:rsidRPr="00884F64">
        <w:rPr>
          <w:rFonts w:ascii="Times New Roman" w:hAnsi="Times New Roman" w:cs="Times New Roman"/>
        </w:rPr>
        <w:t xml:space="preserve">De Guzman et al.'s systematic review found that RPM could be cost-effective in chronic-disease management, but the results depended on clinical context, capital investment, organisational </w:t>
      </w:r>
      <w:r w:rsidR="00884F64" w:rsidRPr="00884F64">
        <w:rPr>
          <w:rFonts w:ascii="Times New Roman" w:hAnsi="Times New Roman" w:cs="Times New Roman"/>
        </w:rPr>
        <w:lastRenderedPageBreak/>
        <w:t xml:space="preserve">processes and willingness-to-pay thresholds. Their review found particularly favourable evidence for hypertension, while results for heart failure and COPD varied with disease severity. </w:t>
      </w:r>
      <w:hyperlink r:id="rId14" w:history="1">
        <w:r w:rsidR="00884F64">
          <w:rPr>
            <w:rStyle w:val="Hyperlink"/>
            <w:rFonts w:ascii="Times New Roman" w:hAnsi="Times New Roman" w:cs="Times New Roman"/>
          </w:rPr>
          <w:t xml:space="preserve">  </w:t>
        </w:r>
      </w:hyperlink>
    </w:p>
    <w:p w14:paraId="1BED85DB" w14:textId="2A4F53CF"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More recent evidence reinforces the importance of measuring the full implementation cost. A 2026 scoping review of 84 economic evaluations found considerable inconsistency in reported RPM intervention costs; staff salaries and equipment/technology were among the most frequently included components. </w:t>
      </w:r>
    </w:p>
    <w:p w14:paraId="0234D417"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For a hospital, return on investment can be calculated as:</w:t>
      </w:r>
    </w:p>
    <w:p w14:paraId="3DE57DC9" w14:textId="22386936" w:rsidR="00884F64" w:rsidRPr="00884F64" w:rsidRDefault="005175EA" w:rsidP="00884F64">
      <w:pPr>
        <w:rPr>
          <w:rFonts w:ascii="Times New Roman" w:hAnsi="Times New Roman" w:cs="Times New Roman"/>
        </w:rPr>
      </w:pPr>
      <m:oMathPara>
        <m:oMath>
          <m:r>
            <w:rPr>
              <w:rFonts w:ascii="Cambria Math" w:hAnsi="Cambria Math" w:cs="Times New Roman"/>
            </w:rPr>
            <m:t>ROI=</m:t>
          </m:r>
          <m:f>
            <m:fPr>
              <m:ctrlPr>
                <w:rPr>
                  <w:rFonts w:ascii="Cambria Math" w:hAnsi="Cambria Math" w:cs="Times New Roman"/>
                </w:rPr>
              </m:ctrlPr>
            </m:fPr>
            <m:num>
              <m:r>
                <w:rPr>
                  <w:rFonts w:ascii="Cambria Math" w:hAnsi="Cambria Math" w:cs="Times New Roman"/>
                </w:rPr>
                <m:t>Avoided Cost+Efficiency Gain-Programme Cost</m:t>
              </m:r>
            </m:num>
            <m:den>
              <m:r>
                <w:rPr>
                  <w:rFonts w:ascii="Cambria Math" w:hAnsi="Cambria Math" w:cs="Times New Roman"/>
                </w:rPr>
                <m:t>Programme Cost</m:t>
              </m:r>
            </m:den>
          </m:f>
          <m:r>
            <w:rPr>
              <w:rFonts w:ascii="Cambria Math" w:hAnsi="Cambria Math" w:cs="Times New Roman"/>
            </w:rPr>
            <m:t>×100</m:t>
          </m:r>
          <m:r>
            <w:rPr>
              <w:rFonts w:ascii="Times New Roman" w:hAnsi="Times New Roman" w:cs="Times New Roman"/>
            </w:rPr>
            <w:br/>
          </m:r>
        </m:oMath>
      </m:oMathPara>
      <w:r w:rsidR="00884F64" w:rsidRPr="00884F64">
        <w:rPr>
          <w:rFonts w:ascii="Times New Roman" w:hAnsi="Times New Roman" w:cs="Times New Roman"/>
        </w:rPr>
        <w:t xml:space="preserve">The economic objective should therefore be </w:t>
      </w:r>
      <w:r w:rsidR="00884F64" w:rsidRPr="00884F64">
        <w:rPr>
          <w:rFonts w:ascii="Times New Roman" w:hAnsi="Times New Roman" w:cs="Times New Roman"/>
          <w:b/>
          <w:bCs/>
        </w:rPr>
        <w:t>better outcomes per unit of resource</w:t>
      </w:r>
      <w:r w:rsidR="00884F64" w:rsidRPr="00884F64">
        <w:rPr>
          <w:rFonts w:ascii="Times New Roman" w:hAnsi="Times New Roman" w:cs="Times New Roman"/>
        </w:rPr>
        <w:t>, not merely lower technology expenditure.</w:t>
      </w:r>
    </w:p>
    <w:p w14:paraId="28176382" w14:textId="69290392" w:rsidR="00884F64" w:rsidRPr="00884F64" w:rsidRDefault="00884F64" w:rsidP="00884F64">
      <w:pPr>
        <w:rPr>
          <w:rFonts w:ascii="Times New Roman" w:hAnsi="Times New Roman" w:cs="Times New Roman"/>
        </w:rPr>
      </w:pPr>
    </w:p>
    <w:p w14:paraId="245143C0"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5.6 Clinical Outcomes and Patient Satisfaction</w:t>
      </w:r>
    </w:p>
    <w:p w14:paraId="5CA0E834"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Digital monitoring can potentially improve clinical outcomes by identifying deterioration earlier and improving adherence.</w:t>
      </w:r>
    </w:p>
    <w:p w14:paraId="23F8E95C" w14:textId="489A384B"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Tan et al.'s 2024 review found generally promising effects across safety, adherence, clinical outcomes and quality of life, but results varied substantially among interventions. </w:t>
      </w:r>
      <w:hyperlink r:id="rId15" w:history="1">
        <w:r>
          <w:rPr>
            <w:rStyle w:val="Hyperlink"/>
            <w:rFonts w:ascii="Times New Roman" w:hAnsi="Times New Roman" w:cs="Times New Roman"/>
          </w:rPr>
          <w:t xml:space="preserve"> </w:t>
        </w:r>
      </w:hyperlink>
    </w:p>
    <w:p w14:paraId="1F1D396D" w14:textId="7DA0FD49"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Patient satisfaction is influenced by convenience, reduced travel, perceived responsiveness, usability and confidence in the technology. Yet satisfaction should not be measured only by asking whether patients "liked" telemedicine. Chagas et al.'s 2024 systematic review highlights variation in how telemedicine satisfaction is assessed, indicating the need for validated and multidimensional evaluation. </w:t>
      </w:r>
      <w:hyperlink r:id="rId16" w:history="1">
        <w:r>
          <w:rPr>
            <w:rStyle w:val="Hyperlink"/>
            <w:rFonts w:ascii="Times New Roman" w:hAnsi="Times New Roman" w:cs="Times New Roman"/>
          </w:rPr>
          <w:t xml:space="preserve">  </w:t>
        </w:r>
      </w:hyperlink>
    </w:p>
    <w:p w14:paraId="3F30DD9E"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A useful patient-experience evaluation should therefore assess:</w:t>
      </w:r>
    </w:p>
    <w:p w14:paraId="50B2DA21" w14:textId="77777777" w:rsidR="00884F64" w:rsidRPr="00884F64" w:rsidRDefault="00884F64" w:rsidP="00884F64">
      <w:pPr>
        <w:numPr>
          <w:ilvl w:val="0"/>
          <w:numId w:val="15"/>
        </w:numPr>
        <w:rPr>
          <w:rFonts w:ascii="Times New Roman" w:hAnsi="Times New Roman" w:cs="Times New Roman"/>
        </w:rPr>
      </w:pPr>
      <w:r w:rsidRPr="00884F64">
        <w:rPr>
          <w:rFonts w:ascii="Times New Roman" w:hAnsi="Times New Roman" w:cs="Times New Roman"/>
        </w:rPr>
        <w:t>convenience;</w:t>
      </w:r>
    </w:p>
    <w:p w14:paraId="7866F4C2" w14:textId="77777777" w:rsidR="00884F64" w:rsidRPr="00884F64" w:rsidRDefault="00884F64" w:rsidP="00884F64">
      <w:pPr>
        <w:numPr>
          <w:ilvl w:val="0"/>
          <w:numId w:val="15"/>
        </w:numPr>
        <w:rPr>
          <w:rFonts w:ascii="Times New Roman" w:hAnsi="Times New Roman" w:cs="Times New Roman"/>
        </w:rPr>
      </w:pPr>
      <w:r w:rsidRPr="00884F64">
        <w:rPr>
          <w:rFonts w:ascii="Times New Roman" w:hAnsi="Times New Roman" w:cs="Times New Roman"/>
        </w:rPr>
        <w:t>technical usability;</w:t>
      </w:r>
    </w:p>
    <w:p w14:paraId="20C8AF57" w14:textId="77777777" w:rsidR="00884F64" w:rsidRPr="00884F64" w:rsidRDefault="00884F64" w:rsidP="00884F64">
      <w:pPr>
        <w:numPr>
          <w:ilvl w:val="0"/>
          <w:numId w:val="15"/>
        </w:numPr>
        <w:rPr>
          <w:rFonts w:ascii="Times New Roman" w:hAnsi="Times New Roman" w:cs="Times New Roman"/>
        </w:rPr>
      </w:pPr>
      <w:r w:rsidRPr="00884F64">
        <w:rPr>
          <w:rFonts w:ascii="Times New Roman" w:hAnsi="Times New Roman" w:cs="Times New Roman"/>
        </w:rPr>
        <w:t>communication quality;</w:t>
      </w:r>
    </w:p>
    <w:p w14:paraId="4DFB4FA2" w14:textId="77777777" w:rsidR="00884F64" w:rsidRPr="00884F64" w:rsidRDefault="00884F64" w:rsidP="00884F64">
      <w:pPr>
        <w:numPr>
          <w:ilvl w:val="0"/>
          <w:numId w:val="15"/>
        </w:numPr>
        <w:rPr>
          <w:rFonts w:ascii="Times New Roman" w:hAnsi="Times New Roman" w:cs="Times New Roman"/>
        </w:rPr>
      </w:pPr>
      <w:r w:rsidRPr="00884F64">
        <w:rPr>
          <w:rFonts w:ascii="Times New Roman" w:hAnsi="Times New Roman" w:cs="Times New Roman"/>
        </w:rPr>
        <w:t>confidence in clinical care;</w:t>
      </w:r>
    </w:p>
    <w:p w14:paraId="3D2AC814" w14:textId="77777777" w:rsidR="00884F64" w:rsidRPr="00884F64" w:rsidRDefault="00884F64" w:rsidP="00884F64">
      <w:pPr>
        <w:numPr>
          <w:ilvl w:val="0"/>
          <w:numId w:val="15"/>
        </w:numPr>
        <w:rPr>
          <w:rFonts w:ascii="Times New Roman" w:hAnsi="Times New Roman" w:cs="Times New Roman"/>
        </w:rPr>
      </w:pPr>
      <w:r w:rsidRPr="00884F64">
        <w:rPr>
          <w:rFonts w:ascii="Times New Roman" w:hAnsi="Times New Roman" w:cs="Times New Roman"/>
        </w:rPr>
        <w:t>accessibility;</w:t>
      </w:r>
    </w:p>
    <w:p w14:paraId="2D4A7305" w14:textId="77777777" w:rsidR="00884F64" w:rsidRPr="00884F64" w:rsidRDefault="00884F64" w:rsidP="00884F64">
      <w:pPr>
        <w:numPr>
          <w:ilvl w:val="0"/>
          <w:numId w:val="15"/>
        </w:numPr>
        <w:rPr>
          <w:rFonts w:ascii="Times New Roman" w:hAnsi="Times New Roman" w:cs="Times New Roman"/>
        </w:rPr>
      </w:pPr>
      <w:r w:rsidRPr="00884F64">
        <w:rPr>
          <w:rFonts w:ascii="Times New Roman" w:hAnsi="Times New Roman" w:cs="Times New Roman"/>
        </w:rPr>
        <w:t>willingness to reuse digital care.</w:t>
      </w:r>
    </w:p>
    <w:p w14:paraId="1C2B52CC" w14:textId="657AF8C4" w:rsidR="00884F64" w:rsidRDefault="00884F64" w:rsidP="00884F64">
      <w:pPr>
        <w:rPr>
          <w:rFonts w:ascii="Times New Roman" w:hAnsi="Times New Roman" w:cs="Times New Roman"/>
        </w:rPr>
      </w:pPr>
    </w:p>
    <w:p w14:paraId="3CD620CA" w14:textId="77777777" w:rsidR="005175EA" w:rsidRPr="00884F64" w:rsidRDefault="005175EA" w:rsidP="00884F64">
      <w:pPr>
        <w:rPr>
          <w:rFonts w:ascii="Times New Roman" w:hAnsi="Times New Roman" w:cs="Times New Roman"/>
        </w:rPr>
      </w:pPr>
    </w:p>
    <w:p w14:paraId="451416A1"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lastRenderedPageBreak/>
        <w:t>5.7 Practical Healthcare Case: Alexandra Hospital, Singapore</w:t>
      </w:r>
    </w:p>
    <w:p w14:paraId="2EB4F30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A useful example is the work associated with the </w:t>
      </w:r>
      <w:r w:rsidRPr="00884F64">
        <w:rPr>
          <w:rFonts w:ascii="Times New Roman" w:hAnsi="Times New Roman" w:cs="Times New Roman"/>
          <w:b/>
          <w:bCs/>
        </w:rPr>
        <w:t>Alexandra Research Centre for Healthcare in the Virtual Environment (ARCHIVE)</w:t>
      </w:r>
      <w:r w:rsidRPr="00884F64">
        <w:rPr>
          <w:rFonts w:ascii="Times New Roman" w:hAnsi="Times New Roman" w:cs="Times New Roman"/>
        </w:rPr>
        <w:t xml:space="preserve"> at Alexandra Hospital within Singapore's National University Health System.</w:t>
      </w:r>
    </w:p>
    <w:p w14:paraId="6EDB695E" w14:textId="2B4C494B"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Researchers associated with this environment conducted the 2024 systematic review examining RPM during transitions from inpatient care to the home. The review identified </w:t>
      </w:r>
      <w:r w:rsidRPr="00884F64">
        <w:rPr>
          <w:rFonts w:ascii="Times New Roman" w:hAnsi="Times New Roman" w:cs="Times New Roman"/>
          <w:b/>
          <w:bCs/>
        </w:rPr>
        <w:t>29 studies across 16 countries</w:t>
      </w:r>
      <w:r w:rsidRPr="00884F64">
        <w:rPr>
          <w:rFonts w:ascii="Times New Roman" w:hAnsi="Times New Roman" w:cs="Times New Roman"/>
        </w:rPr>
        <w:t xml:space="preserve"> and seven broad types of remote-monitoring intervention. </w:t>
      </w:r>
      <w:hyperlink r:id="rId17" w:history="1">
        <w:r>
          <w:rPr>
            <w:rStyle w:val="Hyperlink"/>
            <w:rFonts w:ascii="Times New Roman" w:hAnsi="Times New Roman" w:cs="Times New Roman"/>
          </w:rPr>
          <w:t xml:space="preserve"> </w:t>
        </w:r>
      </w:hyperlink>
    </w:p>
    <w:p w14:paraId="72662C96"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This evidence supports an important hospital strategy: digital monitoring is particularly relevant at the boundary between inpatient and outpatient care. Patients who are clinically stable enough to leave hospital but remain at meaningful risk may benefit from structured remote follow-up.</w:t>
      </w:r>
    </w:p>
    <w:p w14:paraId="54C976FE"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For a mid-sized hospital, this suggests beginning with a </w:t>
      </w:r>
      <w:r w:rsidRPr="00884F64">
        <w:rPr>
          <w:rFonts w:ascii="Times New Roman" w:hAnsi="Times New Roman" w:cs="Times New Roman"/>
          <w:b/>
          <w:bCs/>
        </w:rPr>
        <w:t>post-discharge virtual ward/RPM pathway</w:t>
      </w:r>
      <w:r w:rsidRPr="00884F64">
        <w:rPr>
          <w:rFonts w:ascii="Times New Roman" w:hAnsi="Times New Roman" w:cs="Times New Roman"/>
        </w:rPr>
        <w:t xml:space="preserve"> rather than attempting to monitor the entire population.</w:t>
      </w:r>
    </w:p>
    <w:p w14:paraId="4FE6DBE5" w14:textId="7DB4B63A" w:rsidR="00884F64" w:rsidRPr="00884F64" w:rsidRDefault="00884F64" w:rsidP="00884F64">
      <w:pPr>
        <w:rPr>
          <w:rFonts w:ascii="Times New Roman" w:hAnsi="Times New Roman" w:cs="Times New Roman"/>
        </w:rPr>
      </w:pPr>
    </w:p>
    <w:p w14:paraId="668EB010"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6. Discussion</w:t>
      </w:r>
    </w:p>
    <w:p w14:paraId="0B0547C8"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6.1 Strategic Evaluation of Digital Care</w:t>
      </w:r>
    </w:p>
    <w:p w14:paraId="649F81B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evidence demonstrates that telemedicine and RPM can improve healthcare delivery, but digital technology should not be treated as a universal substitute for conventional care.</w:t>
      </w:r>
    </w:p>
    <w:p w14:paraId="563F72CA"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strongest model is hybrid:</w:t>
      </w:r>
    </w:p>
    <w:p w14:paraId="5B238327" w14:textId="77777777" w:rsidR="00884F64" w:rsidRPr="00884F64" w:rsidRDefault="00884F64" w:rsidP="00884F64">
      <w:pPr>
        <w:rPr>
          <w:rFonts w:ascii="Times New Roman" w:hAnsi="Times New Roman" w:cs="Times New Roman"/>
        </w:rPr>
      </w:pPr>
      <w:proofErr w:type="gramStart"/>
      <w:r w:rsidRPr="00884F64">
        <w:rPr>
          <w:rFonts w:ascii="Times New Roman" w:hAnsi="Times New Roman" w:cs="Times New Roman"/>
        </w:rPr>
        <w:t>\[</w:t>
      </w:r>
      <w:proofErr w:type="gramEnd"/>
      <w:r w:rsidRPr="00884F64">
        <w:rPr>
          <w:rFonts w:ascii="Times New Roman" w:hAnsi="Times New Roman" w:cs="Times New Roman"/>
        </w:rPr>
        <w:t xml:space="preserve"> \</w:t>
      </w:r>
      <w:proofErr w:type="gramStart"/>
      <w:r w:rsidRPr="00884F64">
        <w:rPr>
          <w:rFonts w:ascii="Times New Roman" w:hAnsi="Times New Roman" w:cs="Times New Roman"/>
        </w:rPr>
        <w:t>boxed{ Hybrid</w:t>
      </w:r>
      <w:proofErr w:type="gramEnd"/>
      <w:r w:rsidRPr="00884F64">
        <w:rPr>
          <w:rFonts w:ascii="Times New Roman" w:hAnsi="Times New Roman" w:cs="Times New Roman"/>
        </w:rPr>
        <w:t xml:space="preserve">\ Care = Digital\ Access + Remote\ Monitoring + Physical\ Care\ When\ Clinically\ </w:t>
      </w:r>
      <w:proofErr w:type="gramStart"/>
      <w:r w:rsidRPr="00884F64">
        <w:rPr>
          <w:rFonts w:ascii="Times New Roman" w:hAnsi="Times New Roman" w:cs="Times New Roman"/>
        </w:rPr>
        <w:t>Required }</w:t>
      </w:r>
      <w:proofErr w:type="gramEnd"/>
      <w:r w:rsidRPr="00884F64">
        <w:rPr>
          <w:rFonts w:ascii="Times New Roman" w:hAnsi="Times New Roman" w:cs="Times New Roman"/>
        </w:rPr>
        <w:t xml:space="preserve"> \]</w:t>
      </w:r>
    </w:p>
    <w:p w14:paraId="7C6B4BDA"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Telemedicine is especially valuable where information exchange is more important than physical examination. RPM is valuable where deterioration can be detected through measurable indicators and timely intervention can alter the outcome.</w:t>
      </w:r>
    </w:p>
    <w:p w14:paraId="3B49DE7C"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Consequently, the hospital should select digital pathways according to clinical appropriateness rather than technology availability.</w:t>
      </w:r>
    </w:p>
    <w:p w14:paraId="1BE9114B" w14:textId="18BFCEE7" w:rsidR="00884F64" w:rsidRPr="00884F64" w:rsidRDefault="00884F64" w:rsidP="00884F64">
      <w:pPr>
        <w:rPr>
          <w:rFonts w:ascii="Times New Roman" w:hAnsi="Times New Roman" w:cs="Times New Roman"/>
        </w:rPr>
      </w:pPr>
    </w:p>
    <w:p w14:paraId="57492058"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6.2 Clinician Resistance and Workflow Redesign</w:t>
      </w:r>
    </w:p>
    <w:p w14:paraId="2B6AAF5B"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Clinician resistance should not automatically be interpreted as unwillingness to innovate. Resistance may indicate legitimate concerns about workload, patient safety, technical reliability or accountability.</w:t>
      </w:r>
    </w:p>
    <w:p w14:paraId="36D5F24D"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A poorly designed RPM programme can create hundreds of alerts without clearly identifying who must respond.</w:t>
      </w:r>
    </w:p>
    <w:p w14:paraId="48BD4F4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lastRenderedPageBreak/>
        <w:t>The organisation should therefore co-design workflows with clinicians.</w:t>
      </w:r>
    </w:p>
    <w:p w14:paraId="219873A6"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Every RPM programme must answer:</w:t>
      </w:r>
    </w:p>
    <w:p w14:paraId="70997AFF"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Who reviews the data?</w:t>
      </w:r>
    </w:p>
    <w:p w14:paraId="4B1084B8"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How frequently?</w:t>
      </w:r>
    </w:p>
    <w:p w14:paraId="53C058E4"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What constitutes an alert?</w:t>
      </w:r>
    </w:p>
    <w:p w14:paraId="151EF8B3"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Who owns the alert?</w:t>
      </w:r>
    </w:p>
    <w:p w14:paraId="6037A4A5"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How quickly must it be addressed?</w:t>
      </w:r>
    </w:p>
    <w:p w14:paraId="51B441EE"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When is a physician involved?</w:t>
      </w:r>
    </w:p>
    <w:p w14:paraId="0B522832"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When is emergency escalation required?</w:t>
      </w:r>
    </w:p>
    <w:p w14:paraId="56A79945" w14:textId="3C54A720" w:rsidR="00884F64" w:rsidRPr="00884F64" w:rsidRDefault="00884F64" w:rsidP="00884F64">
      <w:pPr>
        <w:rPr>
          <w:rFonts w:ascii="Times New Roman" w:hAnsi="Times New Roman" w:cs="Times New Roman"/>
        </w:rPr>
      </w:pPr>
      <w:r w:rsidRPr="00884F64">
        <w:rPr>
          <w:rFonts w:ascii="Times New Roman" w:hAnsi="Times New Roman" w:cs="Times New Roman"/>
        </w:rPr>
        <w:t>Technology adoption becomes easier when these responsibilities are explicit.</w:t>
      </w:r>
    </w:p>
    <w:p w14:paraId="76AFDCC1"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6.3 Digital Literacy and Equity</w:t>
      </w:r>
    </w:p>
    <w:p w14:paraId="53B4DF8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Digital care can improve geographical access while simultaneously creating new inequalities.</w:t>
      </w:r>
    </w:p>
    <w:p w14:paraId="5CEF60C1"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Potentially disadvantaged populations include:</w:t>
      </w:r>
    </w:p>
    <w:p w14:paraId="665FC6D8" w14:textId="77777777" w:rsidR="00884F64" w:rsidRPr="00884F64" w:rsidRDefault="00884F64" w:rsidP="00884F64">
      <w:pPr>
        <w:numPr>
          <w:ilvl w:val="0"/>
          <w:numId w:val="16"/>
        </w:numPr>
        <w:rPr>
          <w:rFonts w:ascii="Times New Roman" w:hAnsi="Times New Roman" w:cs="Times New Roman"/>
        </w:rPr>
      </w:pPr>
      <w:r w:rsidRPr="00884F64">
        <w:rPr>
          <w:rFonts w:ascii="Times New Roman" w:hAnsi="Times New Roman" w:cs="Times New Roman"/>
        </w:rPr>
        <w:t>older adults;</w:t>
      </w:r>
    </w:p>
    <w:p w14:paraId="035C3A8B" w14:textId="77777777" w:rsidR="00884F64" w:rsidRPr="00884F64" w:rsidRDefault="00884F64" w:rsidP="00884F64">
      <w:pPr>
        <w:numPr>
          <w:ilvl w:val="0"/>
          <w:numId w:val="16"/>
        </w:numPr>
        <w:rPr>
          <w:rFonts w:ascii="Times New Roman" w:hAnsi="Times New Roman" w:cs="Times New Roman"/>
        </w:rPr>
      </w:pPr>
      <w:r w:rsidRPr="00884F64">
        <w:rPr>
          <w:rFonts w:ascii="Times New Roman" w:hAnsi="Times New Roman" w:cs="Times New Roman"/>
        </w:rPr>
        <w:t>people with low digital literacy;</w:t>
      </w:r>
    </w:p>
    <w:p w14:paraId="043E9375" w14:textId="77777777" w:rsidR="00884F64" w:rsidRPr="00884F64" w:rsidRDefault="00884F64" w:rsidP="00884F64">
      <w:pPr>
        <w:numPr>
          <w:ilvl w:val="0"/>
          <w:numId w:val="16"/>
        </w:numPr>
        <w:rPr>
          <w:rFonts w:ascii="Times New Roman" w:hAnsi="Times New Roman" w:cs="Times New Roman"/>
        </w:rPr>
      </w:pPr>
      <w:r w:rsidRPr="00884F64">
        <w:rPr>
          <w:rFonts w:ascii="Times New Roman" w:hAnsi="Times New Roman" w:cs="Times New Roman"/>
        </w:rPr>
        <w:t>low-income households;</w:t>
      </w:r>
    </w:p>
    <w:p w14:paraId="6FABA261" w14:textId="77777777" w:rsidR="00884F64" w:rsidRPr="00884F64" w:rsidRDefault="00884F64" w:rsidP="00884F64">
      <w:pPr>
        <w:numPr>
          <w:ilvl w:val="0"/>
          <w:numId w:val="16"/>
        </w:numPr>
        <w:rPr>
          <w:rFonts w:ascii="Times New Roman" w:hAnsi="Times New Roman" w:cs="Times New Roman"/>
        </w:rPr>
      </w:pPr>
      <w:r w:rsidRPr="00884F64">
        <w:rPr>
          <w:rFonts w:ascii="Times New Roman" w:hAnsi="Times New Roman" w:cs="Times New Roman"/>
        </w:rPr>
        <w:t>people with disabilities;</w:t>
      </w:r>
    </w:p>
    <w:p w14:paraId="268149E4" w14:textId="77777777" w:rsidR="00884F64" w:rsidRPr="00884F64" w:rsidRDefault="00884F64" w:rsidP="00884F64">
      <w:pPr>
        <w:numPr>
          <w:ilvl w:val="0"/>
          <w:numId w:val="16"/>
        </w:numPr>
        <w:rPr>
          <w:rFonts w:ascii="Times New Roman" w:hAnsi="Times New Roman" w:cs="Times New Roman"/>
        </w:rPr>
      </w:pPr>
      <w:r w:rsidRPr="00884F64">
        <w:rPr>
          <w:rFonts w:ascii="Times New Roman" w:hAnsi="Times New Roman" w:cs="Times New Roman"/>
        </w:rPr>
        <w:t>patients with limited connectivity;</w:t>
      </w:r>
    </w:p>
    <w:p w14:paraId="48FC83F9" w14:textId="77777777" w:rsidR="00884F64" w:rsidRPr="00884F64" w:rsidRDefault="00884F64" w:rsidP="00884F64">
      <w:pPr>
        <w:numPr>
          <w:ilvl w:val="0"/>
          <w:numId w:val="16"/>
        </w:numPr>
        <w:rPr>
          <w:rFonts w:ascii="Times New Roman" w:hAnsi="Times New Roman" w:cs="Times New Roman"/>
        </w:rPr>
      </w:pPr>
      <w:r w:rsidRPr="00884F64">
        <w:rPr>
          <w:rFonts w:ascii="Times New Roman" w:hAnsi="Times New Roman" w:cs="Times New Roman"/>
        </w:rPr>
        <w:t>people facing language barriers.</w:t>
      </w:r>
    </w:p>
    <w:p w14:paraId="1A5FC0A0"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A hospital should therefore provide alternatives such as telephone consultations, loaned devices, multilingual interfaces, caregiver access and technical onboarding.</w:t>
      </w:r>
    </w:p>
    <w:p w14:paraId="666D7371"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Digital inclusion can be represented as:</w:t>
      </w:r>
    </w:p>
    <w:p w14:paraId="6D049042" w14:textId="24AD90B6" w:rsidR="00884F64" w:rsidRPr="00884F64" w:rsidRDefault="005175EA" w:rsidP="00884F64">
      <w:pPr>
        <w:rPr>
          <w:rFonts w:ascii="Times New Roman" w:hAnsi="Times New Roman" w:cs="Times New Roman"/>
        </w:rPr>
      </w:pPr>
      <m:oMathPara>
        <m:oMath>
          <m:r>
            <w:rPr>
              <w:rFonts w:ascii="Cambria Math" w:hAnsi="Cambria Math" w:cs="Times New Roman"/>
            </w:rPr>
            <m:t>Access=Device+Connectivity+Skills+Accessibility+Trust</m:t>
          </m:r>
          <m:r>
            <w:rPr>
              <w:rFonts w:ascii="Times New Roman" w:hAnsi="Times New Roman" w:cs="Times New Roman"/>
            </w:rPr>
            <w:br/>
          </m:r>
        </m:oMath>
      </m:oMathPara>
      <w:r w:rsidR="00884F64" w:rsidRPr="00884F64">
        <w:rPr>
          <w:rFonts w:ascii="Times New Roman" w:hAnsi="Times New Roman" w:cs="Times New Roman"/>
        </w:rPr>
        <w:t>If one component is absent, practical access may fail.</w:t>
      </w:r>
    </w:p>
    <w:p w14:paraId="56700730" w14:textId="149B3EE5" w:rsidR="005175EA" w:rsidRPr="00884F64" w:rsidRDefault="005175EA" w:rsidP="00884F64">
      <w:pPr>
        <w:rPr>
          <w:rFonts w:ascii="Times New Roman" w:hAnsi="Times New Roman" w:cs="Times New Roman"/>
        </w:rPr>
      </w:pPr>
    </w:p>
    <w:p w14:paraId="631F1F6C" w14:textId="2735CFC2" w:rsidR="00884F64" w:rsidRDefault="00884F64" w:rsidP="00884F64">
      <w:pPr>
        <w:rPr>
          <w:rFonts w:ascii="Times New Roman" w:hAnsi="Times New Roman" w:cs="Times New Roman"/>
        </w:rPr>
      </w:pPr>
    </w:p>
    <w:p w14:paraId="4BBE69A4" w14:textId="77777777" w:rsidR="005175EA" w:rsidRDefault="005175EA" w:rsidP="00884F64">
      <w:pPr>
        <w:rPr>
          <w:rFonts w:ascii="Times New Roman" w:hAnsi="Times New Roman" w:cs="Times New Roman"/>
        </w:rPr>
      </w:pPr>
    </w:p>
    <w:p w14:paraId="38D9BFAE" w14:textId="77777777" w:rsidR="005175EA" w:rsidRPr="00884F64" w:rsidRDefault="005175EA" w:rsidP="00884F64">
      <w:pPr>
        <w:rPr>
          <w:rFonts w:ascii="Times New Roman" w:hAnsi="Times New Roman" w:cs="Times New Roman"/>
        </w:rPr>
      </w:pPr>
    </w:p>
    <w:p w14:paraId="3C055E5B"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lastRenderedPageBreak/>
        <w:t>6.4 Task Shifting and Workforce Transformation</w:t>
      </w:r>
    </w:p>
    <w:p w14:paraId="3501A705"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RPM can enable appropriate task shifting.</w:t>
      </w:r>
    </w:p>
    <w:p w14:paraId="1B713C1E"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Not every incoming measurement requires physician review. Trained nurses or monitoring coordinators can manage routine dashboards, with physicians reviewing higher-risk cases.</w:t>
      </w:r>
    </w:p>
    <w:p w14:paraId="621C017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A scalable model is:</w:t>
      </w:r>
    </w:p>
    <w:p w14:paraId="6770553E"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Automated filtering</w:t>
      </w:r>
    </w:p>
    <w:p w14:paraId="5B831BC4"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4FCD0BCA"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Monitoring coordinator</w:t>
      </w:r>
    </w:p>
    <w:p w14:paraId="084A1935"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1DB5AB0C"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Specialist nurse</w:t>
      </w:r>
    </w:p>
    <w:p w14:paraId="5D6FA5F4"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1F3E5D21"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Physician</w:t>
      </w:r>
    </w:p>
    <w:p w14:paraId="36878C83"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0926490C"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Emergency service</w:t>
      </w:r>
    </w:p>
    <w:p w14:paraId="1CCD0177"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This preserves specialist capacity for cases requiring advanced clinical judgement.</w:t>
      </w:r>
    </w:p>
    <w:p w14:paraId="7FBDFD3B"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However, task shifting requires clear scope-of-practice rules, training and escalation protocols. It should redistribute work safely rather than simply add digital tasks to existing workloads.</w:t>
      </w:r>
    </w:p>
    <w:p w14:paraId="36A8B9D1" w14:textId="62E7A90B" w:rsidR="00884F64" w:rsidRPr="00884F64" w:rsidRDefault="00884F64" w:rsidP="00884F64">
      <w:pPr>
        <w:rPr>
          <w:rFonts w:ascii="Times New Roman" w:hAnsi="Times New Roman" w:cs="Times New Roman"/>
        </w:rPr>
      </w:pPr>
    </w:p>
    <w:p w14:paraId="01ED6AA9"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6.5 Cybersecurity, Privacy and Interoperability</w:t>
      </w:r>
    </w:p>
    <w:p w14:paraId="0C217FC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IoMT expands the healthcare cybersecurity attack surface because information passes through multiple components:</w:t>
      </w:r>
    </w:p>
    <w:p w14:paraId="7C30D455"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Device → Home Network → Smartphone/Gateway → Cloud → Hospital Network → EHR</w:t>
      </w:r>
    </w:p>
    <w:p w14:paraId="784EB12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Each connection introduces risk.</w:t>
      </w:r>
    </w:p>
    <w:p w14:paraId="7DF053C7"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Essential controls include:</w:t>
      </w:r>
    </w:p>
    <w:tbl>
      <w:tblPr>
        <w:tblStyle w:val="TableGrid"/>
        <w:tblW w:w="0" w:type="auto"/>
        <w:tblLook w:val="04A0" w:firstRow="1" w:lastRow="0" w:firstColumn="1" w:lastColumn="0" w:noHBand="0" w:noVBand="1"/>
      </w:tblPr>
      <w:tblGrid>
        <w:gridCol w:w="2276"/>
        <w:gridCol w:w="2809"/>
      </w:tblGrid>
      <w:tr w:rsidR="00884F64" w:rsidRPr="00884F64" w14:paraId="4FC1EA95" w14:textId="77777777" w:rsidTr="005175EA">
        <w:tc>
          <w:tcPr>
            <w:tcW w:w="0" w:type="auto"/>
            <w:hideMark/>
          </w:tcPr>
          <w:p w14:paraId="07CAF54E"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Risk</w:t>
            </w:r>
          </w:p>
        </w:tc>
        <w:tc>
          <w:tcPr>
            <w:tcW w:w="0" w:type="auto"/>
            <w:hideMark/>
          </w:tcPr>
          <w:p w14:paraId="10315621"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Control</w:t>
            </w:r>
          </w:p>
        </w:tc>
      </w:tr>
      <w:tr w:rsidR="00884F64" w:rsidRPr="00884F64" w14:paraId="27126830" w14:textId="77777777" w:rsidTr="005175EA">
        <w:tc>
          <w:tcPr>
            <w:tcW w:w="0" w:type="auto"/>
            <w:hideMark/>
          </w:tcPr>
          <w:p w14:paraId="5D51319D"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Account compromise</w:t>
            </w:r>
          </w:p>
        </w:tc>
        <w:tc>
          <w:tcPr>
            <w:tcW w:w="0" w:type="auto"/>
            <w:hideMark/>
          </w:tcPr>
          <w:p w14:paraId="0EE94BEC"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Multi-factor authentication</w:t>
            </w:r>
          </w:p>
        </w:tc>
      </w:tr>
      <w:tr w:rsidR="00884F64" w:rsidRPr="00884F64" w14:paraId="2C193D8B" w14:textId="77777777" w:rsidTr="005175EA">
        <w:tc>
          <w:tcPr>
            <w:tcW w:w="0" w:type="auto"/>
            <w:hideMark/>
          </w:tcPr>
          <w:p w14:paraId="0833CFE9"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Data interception</w:t>
            </w:r>
          </w:p>
        </w:tc>
        <w:tc>
          <w:tcPr>
            <w:tcW w:w="0" w:type="auto"/>
            <w:hideMark/>
          </w:tcPr>
          <w:p w14:paraId="46BBC249"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Encryption in transit</w:t>
            </w:r>
          </w:p>
        </w:tc>
      </w:tr>
      <w:tr w:rsidR="00884F64" w:rsidRPr="00884F64" w14:paraId="6BC6EEF1" w14:textId="77777777" w:rsidTr="005175EA">
        <w:tc>
          <w:tcPr>
            <w:tcW w:w="0" w:type="auto"/>
            <w:hideMark/>
          </w:tcPr>
          <w:p w14:paraId="5F5ABADC"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lastRenderedPageBreak/>
              <w:t>Data theft</w:t>
            </w:r>
          </w:p>
        </w:tc>
        <w:tc>
          <w:tcPr>
            <w:tcW w:w="0" w:type="auto"/>
            <w:hideMark/>
          </w:tcPr>
          <w:p w14:paraId="36BF810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Encryption at rest</w:t>
            </w:r>
          </w:p>
        </w:tc>
      </w:tr>
      <w:tr w:rsidR="00884F64" w:rsidRPr="00884F64" w14:paraId="1541272D" w14:textId="77777777" w:rsidTr="005175EA">
        <w:tc>
          <w:tcPr>
            <w:tcW w:w="0" w:type="auto"/>
            <w:hideMark/>
          </w:tcPr>
          <w:p w14:paraId="49C9933A"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Excessive access</w:t>
            </w:r>
          </w:p>
        </w:tc>
        <w:tc>
          <w:tcPr>
            <w:tcW w:w="0" w:type="auto"/>
            <w:hideMark/>
          </w:tcPr>
          <w:p w14:paraId="552205B0"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Role-based access control</w:t>
            </w:r>
          </w:p>
        </w:tc>
      </w:tr>
      <w:tr w:rsidR="00884F64" w:rsidRPr="00884F64" w14:paraId="28DDA656" w14:textId="77777777" w:rsidTr="005175EA">
        <w:tc>
          <w:tcPr>
            <w:tcW w:w="0" w:type="auto"/>
            <w:hideMark/>
          </w:tcPr>
          <w:p w14:paraId="7F88B4F2"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Compromised device</w:t>
            </w:r>
          </w:p>
        </w:tc>
        <w:tc>
          <w:tcPr>
            <w:tcW w:w="0" w:type="auto"/>
            <w:hideMark/>
          </w:tcPr>
          <w:p w14:paraId="3A92B2A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Device authentication</w:t>
            </w:r>
          </w:p>
        </w:tc>
      </w:tr>
      <w:tr w:rsidR="00884F64" w:rsidRPr="00884F64" w14:paraId="7D0A4037" w14:textId="77777777" w:rsidTr="005175EA">
        <w:tc>
          <w:tcPr>
            <w:tcW w:w="0" w:type="auto"/>
            <w:hideMark/>
          </w:tcPr>
          <w:p w14:paraId="5A430503"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Vulnerabilities</w:t>
            </w:r>
          </w:p>
        </w:tc>
        <w:tc>
          <w:tcPr>
            <w:tcW w:w="0" w:type="auto"/>
            <w:hideMark/>
          </w:tcPr>
          <w:p w14:paraId="582420C6"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Patch management</w:t>
            </w:r>
          </w:p>
        </w:tc>
      </w:tr>
      <w:tr w:rsidR="00884F64" w:rsidRPr="00884F64" w14:paraId="1E7E57E6" w14:textId="77777777" w:rsidTr="005175EA">
        <w:tc>
          <w:tcPr>
            <w:tcW w:w="0" w:type="auto"/>
            <w:hideMark/>
          </w:tcPr>
          <w:p w14:paraId="0D4E7A97"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Suspicious activity</w:t>
            </w:r>
          </w:p>
        </w:tc>
        <w:tc>
          <w:tcPr>
            <w:tcW w:w="0" w:type="auto"/>
            <w:hideMark/>
          </w:tcPr>
          <w:p w14:paraId="16C1A908"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Security monitoring</w:t>
            </w:r>
          </w:p>
        </w:tc>
      </w:tr>
      <w:tr w:rsidR="00884F64" w:rsidRPr="00884F64" w14:paraId="7A17965F" w14:textId="77777777" w:rsidTr="005175EA">
        <w:tc>
          <w:tcPr>
            <w:tcW w:w="0" w:type="auto"/>
            <w:hideMark/>
          </w:tcPr>
          <w:p w14:paraId="6FFECAAC"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Service outage</w:t>
            </w:r>
          </w:p>
        </w:tc>
        <w:tc>
          <w:tcPr>
            <w:tcW w:w="0" w:type="auto"/>
            <w:hideMark/>
          </w:tcPr>
          <w:p w14:paraId="1CB22A90"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Backup/recovery</w:t>
            </w:r>
          </w:p>
        </w:tc>
      </w:tr>
      <w:tr w:rsidR="00884F64" w:rsidRPr="00884F64" w14:paraId="4FE11E6D" w14:textId="77777777" w:rsidTr="005175EA">
        <w:tc>
          <w:tcPr>
            <w:tcW w:w="0" w:type="auto"/>
            <w:hideMark/>
          </w:tcPr>
          <w:p w14:paraId="75F0C653"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Third-party failure</w:t>
            </w:r>
          </w:p>
        </w:tc>
        <w:tc>
          <w:tcPr>
            <w:tcW w:w="0" w:type="auto"/>
            <w:hideMark/>
          </w:tcPr>
          <w:p w14:paraId="30F55C42"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Vendor-risk assessment</w:t>
            </w:r>
          </w:p>
        </w:tc>
      </w:tr>
    </w:tbl>
    <w:p w14:paraId="0A591C4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Interoperability is equally important. RPM information should integrate into existing clinical systems through standards-based APIs rather than forcing clinicians to log into numerous separate dashboards.</w:t>
      </w:r>
    </w:p>
    <w:p w14:paraId="179DCF98" w14:textId="394AF275" w:rsidR="00884F64" w:rsidRPr="00884F64" w:rsidRDefault="00884F64" w:rsidP="00884F64">
      <w:pPr>
        <w:rPr>
          <w:rFonts w:ascii="Times New Roman" w:hAnsi="Times New Roman" w:cs="Times New Roman"/>
        </w:rPr>
      </w:pPr>
    </w:p>
    <w:p w14:paraId="1C31B5DD"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6.6 Scalable Strategy for a Mid-Sized Hospital</w:t>
      </w:r>
    </w:p>
    <w:p w14:paraId="3A1AA93D"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A mid-sized hospital should avoid an expensive organisation-wide implementation at the outset.</w:t>
      </w:r>
    </w:p>
    <w:p w14:paraId="2BDB6DB7"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Phase 1 – Readiness Assessment: Months 0–3</w:t>
      </w:r>
    </w:p>
    <w:p w14:paraId="1C0CD62E"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Map existing EHR infrastructure, network capacity, workforce skills and target populations.</w:t>
      </w:r>
    </w:p>
    <w:p w14:paraId="33816E3D"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Select </w:t>
      </w:r>
      <w:r w:rsidRPr="00884F64">
        <w:rPr>
          <w:rFonts w:ascii="Times New Roman" w:hAnsi="Times New Roman" w:cs="Times New Roman"/>
          <w:b/>
          <w:bCs/>
        </w:rPr>
        <w:t>one or two high-value pathways</w:t>
      </w:r>
      <w:r w:rsidRPr="00884F64">
        <w:rPr>
          <w:rFonts w:ascii="Times New Roman" w:hAnsi="Times New Roman" w:cs="Times New Roman"/>
        </w:rPr>
        <w:t>, such as:</w:t>
      </w:r>
    </w:p>
    <w:p w14:paraId="076EF799" w14:textId="77777777" w:rsidR="00884F64" w:rsidRPr="00884F64" w:rsidRDefault="00884F64" w:rsidP="00884F64">
      <w:pPr>
        <w:numPr>
          <w:ilvl w:val="0"/>
          <w:numId w:val="17"/>
        </w:numPr>
        <w:rPr>
          <w:rFonts w:ascii="Times New Roman" w:hAnsi="Times New Roman" w:cs="Times New Roman"/>
        </w:rPr>
      </w:pPr>
      <w:r w:rsidRPr="00884F64">
        <w:rPr>
          <w:rFonts w:ascii="Times New Roman" w:hAnsi="Times New Roman" w:cs="Times New Roman"/>
        </w:rPr>
        <w:t>heart failure after discharge;</w:t>
      </w:r>
    </w:p>
    <w:p w14:paraId="471D6F77" w14:textId="77777777" w:rsidR="00884F64" w:rsidRPr="00884F64" w:rsidRDefault="00884F64" w:rsidP="00884F64">
      <w:pPr>
        <w:numPr>
          <w:ilvl w:val="0"/>
          <w:numId w:val="17"/>
        </w:numPr>
        <w:rPr>
          <w:rFonts w:ascii="Times New Roman" w:hAnsi="Times New Roman" w:cs="Times New Roman"/>
        </w:rPr>
      </w:pPr>
      <w:r w:rsidRPr="00884F64">
        <w:rPr>
          <w:rFonts w:ascii="Times New Roman" w:hAnsi="Times New Roman" w:cs="Times New Roman"/>
        </w:rPr>
        <w:t>COPD;</w:t>
      </w:r>
    </w:p>
    <w:p w14:paraId="4F49FBA0" w14:textId="77777777" w:rsidR="00884F64" w:rsidRPr="00884F64" w:rsidRDefault="00884F64" w:rsidP="00884F64">
      <w:pPr>
        <w:numPr>
          <w:ilvl w:val="0"/>
          <w:numId w:val="17"/>
        </w:numPr>
        <w:rPr>
          <w:rFonts w:ascii="Times New Roman" w:hAnsi="Times New Roman" w:cs="Times New Roman"/>
        </w:rPr>
      </w:pPr>
      <w:r w:rsidRPr="00884F64">
        <w:rPr>
          <w:rFonts w:ascii="Times New Roman" w:hAnsi="Times New Roman" w:cs="Times New Roman"/>
        </w:rPr>
        <w:t>hypertension.</w:t>
      </w:r>
    </w:p>
    <w:p w14:paraId="64470955"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Establish baseline outcomes before implementation.</w:t>
      </w:r>
    </w:p>
    <w:p w14:paraId="143DE46A"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pict w14:anchorId="75D7695A">
          <v:rect id="_x0000_i1624" style="width:0;height:1.5pt" o:hralign="center" o:hrstd="t" o:hr="t" fillcolor="#a0a0a0" stroked="f"/>
        </w:pict>
      </w:r>
    </w:p>
    <w:p w14:paraId="25706484"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Phase 2 – Minimum Viable Digital-Care Platform: Months 3–6</w:t>
      </w:r>
    </w:p>
    <w:p w14:paraId="63CCE3A8"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Implement:</w:t>
      </w:r>
    </w:p>
    <w:p w14:paraId="46469DB7" w14:textId="77777777" w:rsidR="00884F64" w:rsidRPr="00884F64" w:rsidRDefault="00884F64" w:rsidP="00884F64">
      <w:pPr>
        <w:numPr>
          <w:ilvl w:val="0"/>
          <w:numId w:val="18"/>
        </w:numPr>
        <w:rPr>
          <w:rFonts w:ascii="Times New Roman" w:hAnsi="Times New Roman" w:cs="Times New Roman"/>
        </w:rPr>
      </w:pPr>
      <w:r w:rsidRPr="00884F64">
        <w:rPr>
          <w:rFonts w:ascii="Times New Roman" w:hAnsi="Times New Roman" w:cs="Times New Roman"/>
        </w:rPr>
        <w:t>secure teleconsultation;</w:t>
      </w:r>
    </w:p>
    <w:p w14:paraId="1E1D4EB9" w14:textId="77777777" w:rsidR="00884F64" w:rsidRPr="00884F64" w:rsidRDefault="00884F64" w:rsidP="00884F64">
      <w:pPr>
        <w:numPr>
          <w:ilvl w:val="0"/>
          <w:numId w:val="18"/>
        </w:numPr>
        <w:rPr>
          <w:rFonts w:ascii="Times New Roman" w:hAnsi="Times New Roman" w:cs="Times New Roman"/>
        </w:rPr>
      </w:pPr>
      <w:r w:rsidRPr="00884F64">
        <w:rPr>
          <w:rFonts w:ascii="Times New Roman" w:hAnsi="Times New Roman" w:cs="Times New Roman"/>
        </w:rPr>
        <w:t>patient application/portal;</w:t>
      </w:r>
    </w:p>
    <w:p w14:paraId="6561CF7E" w14:textId="77777777" w:rsidR="00884F64" w:rsidRPr="00884F64" w:rsidRDefault="00884F64" w:rsidP="00884F64">
      <w:pPr>
        <w:numPr>
          <w:ilvl w:val="0"/>
          <w:numId w:val="18"/>
        </w:numPr>
        <w:rPr>
          <w:rFonts w:ascii="Times New Roman" w:hAnsi="Times New Roman" w:cs="Times New Roman"/>
        </w:rPr>
      </w:pPr>
      <w:r w:rsidRPr="00884F64">
        <w:rPr>
          <w:rFonts w:ascii="Times New Roman" w:hAnsi="Times New Roman" w:cs="Times New Roman"/>
        </w:rPr>
        <w:t>connected monitoring devices;</w:t>
      </w:r>
    </w:p>
    <w:p w14:paraId="74620F21" w14:textId="77777777" w:rsidR="00884F64" w:rsidRPr="00884F64" w:rsidRDefault="00884F64" w:rsidP="00884F64">
      <w:pPr>
        <w:numPr>
          <w:ilvl w:val="0"/>
          <w:numId w:val="18"/>
        </w:numPr>
        <w:rPr>
          <w:rFonts w:ascii="Times New Roman" w:hAnsi="Times New Roman" w:cs="Times New Roman"/>
        </w:rPr>
      </w:pPr>
      <w:r w:rsidRPr="00884F64">
        <w:rPr>
          <w:rFonts w:ascii="Times New Roman" w:hAnsi="Times New Roman" w:cs="Times New Roman"/>
        </w:rPr>
        <w:t>monitoring dashboard;</w:t>
      </w:r>
    </w:p>
    <w:p w14:paraId="70EB5694" w14:textId="77777777" w:rsidR="00884F64" w:rsidRPr="00884F64" w:rsidRDefault="00884F64" w:rsidP="00884F64">
      <w:pPr>
        <w:numPr>
          <w:ilvl w:val="0"/>
          <w:numId w:val="18"/>
        </w:numPr>
        <w:rPr>
          <w:rFonts w:ascii="Times New Roman" w:hAnsi="Times New Roman" w:cs="Times New Roman"/>
        </w:rPr>
      </w:pPr>
      <w:r w:rsidRPr="00884F64">
        <w:rPr>
          <w:rFonts w:ascii="Times New Roman" w:hAnsi="Times New Roman" w:cs="Times New Roman"/>
        </w:rPr>
        <w:lastRenderedPageBreak/>
        <w:t>EHR integration;</w:t>
      </w:r>
    </w:p>
    <w:p w14:paraId="0F6553B2" w14:textId="77777777" w:rsidR="00884F64" w:rsidRPr="00884F64" w:rsidRDefault="00884F64" w:rsidP="00884F64">
      <w:pPr>
        <w:numPr>
          <w:ilvl w:val="0"/>
          <w:numId w:val="18"/>
        </w:numPr>
        <w:rPr>
          <w:rFonts w:ascii="Times New Roman" w:hAnsi="Times New Roman" w:cs="Times New Roman"/>
        </w:rPr>
      </w:pPr>
      <w:r w:rsidRPr="00884F64">
        <w:rPr>
          <w:rFonts w:ascii="Times New Roman" w:hAnsi="Times New Roman" w:cs="Times New Roman"/>
        </w:rPr>
        <w:t>identity/access management.</w:t>
      </w:r>
    </w:p>
    <w:p w14:paraId="3D4884BE"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Use a cloud or managed-service model where appropriate to avoid unnecessary infrastructure investment.</w:t>
      </w:r>
    </w:p>
    <w:p w14:paraId="221945E4" w14:textId="0B443F89" w:rsidR="00884F64" w:rsidRPr="00884F64" w:rsidRDefault="00884F64" w:rsidP="00884F64">
      <w:pPr>
        <w:rPr>
          <w:rFonts w:ascii="Times New Roman" w:hAnsi="Times New Roman" w:cs="Times New Roman"/>
        </w:rPr>
      </w:pPr>
    </w:p>
    <w:p w14:paraId="3E9AFFA3"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Phase 3 – Pilot: Months 6–9</w:t>
      </w:r>
    </w:p>
    <w:p w14:paraId="5B4DF8D0"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Recruit approximately </w:t>
      </w:r>
      <w:r w:rsidRPr="00884F64">
        <w:rPr>
          <w:rFonts w:ascii="Times New Roman" w:hAnsi="Times New Roman" w:cs="Times New Roman"/>
          <w:b/>
          <w:bCs/>
        </w:rPr>
        <w:t>100–200 clinically suitable patients</w:t>
      </w:r>
      <w:r w:rsidRPr="00884F64">
        <w:rPr>
          <w:rFonts w:ascii="Times New Roman" w:hAnsi="Times New Roman" w:cs="Times New Roman"/>
        </w:rPr>
        <w:t>.</w:t>
      </w:r>
    </w:p>
    <w:p w14:paraId="594F3348"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Use a virtual-care team comprising:</w:t>
      </w:r>
    </w:p>
    <w:p w14:paraId="4E6F2453" w14:textId="77777777" w:rsidR="00884F64" w:rsidRPr="00884F64" w:rsidRDefault="00884F64" w:rsidP="00884F64">
      <w:pPr>
        <w:numPr>
          <w:ilvl w:val="0"/>
          <w:numId w:val="19"/>
        </w:numPr>
        <w:rPr>
          <w:rFonts w:ascii="Times New Roman" w:hAnsi="Times New Roman" w:cs="Times New Roman"/>
        </w:rPr>
      </w:pPr>
      <w:r w:rsidRPr="00884F64">
        <w:rPr>
          <w:rFonts w:ascii="Times New Roman" w:hAnsi="Times New Roman" w:cs="Times New Roman"/>
        </w:rPr>
        <w:t>programme lead;</w:t>
      </w:r>
    </w:p>
    <w:p w14:paraId="18D175D2" w14:textId="77777777" w:rsidR="00884F64" w:rsidRPr="00884F64" w:rsidRDefault="00884F64" w:rsidP="00884F64">
      <w:pPr>
        <w:numPr>
          <w:ilvl w:val="0"/>
          <w:numId w:val="19"/>
        </w:numPr>
        <w:rPr>
          <w:rFonts w:ascii="Times New Roman" w:hAnsi="Times New Roman" w:cs="Times New Roman"/>
        </w:rPr>
      </w:pPr>
      <w:r w:rsidRPr="00884F64">
        <w:rPr>
          <w:rFonts w:ascii="Times New Roman" w:hAnsi="Times New Roman" w:cs="Times New Roman"/>
        </w:rPr>
        <w:t>specialist nurse;</w:t>
      </w:r>
    </w:p>
    <w:p w14:paraId="36A1C1D2" w14:textId="77777777" w:rsidR="00884F64" w:rsidRPr="00884F64" w:rsidRDefault="00884F64" w:rsidP="00884F64">
      <w:pPr>
        <w:numPr>
          <w:ilvl w:val="0"/>
          <w:numId w:val="19"/>
        </w:numPr>
        <w:rPr>
          <w:rFonts w:ascii="Times New Roman" w:hAnsi="Times New Roman" w:cs="Times New Roman"/>
        </w:rPr>
      </w:pPr>
      <w:r w:rsidRPr="00884F64">
        <w:rPr>
          <w:rFonts w:ascii="Times New Roman" w:hAnsi="Times New Roman" w:cs="Times New Roman"/>
        </w:rPr>
        <w:t>monitoring nurse/coordinator;</w:t>
      </w:r>
    </w:p>
    <w:p w14:paraId="76956888" w14:textId="77777777" w:rsidR="00884F64" w:rsidRPr="00884F64" w:rsidRDefault="00884F64" w:rsidP="00884F64">
      <w:pPr>
        <w:numPr>
          <w:ilvl w:val="0"/>
          <w:numId w:val="19"/>
        </w:numPr>
        <w:rPr>
          <w:rFonts w:ascii="Times New Roman" w:hAnsi="Times New Roman" w:cs="Times New Roman"/>
        </w:rPr>
      </w:pPr>
      <w:r w:rsidRPr="00884F64">
        <w:rPr>
          <w:rFonts w:ascii="Times New Roman" w:hAnsi="Times New Roman" w:cs="Times New Roman"/>
        </w:rPr>
        <w:t>part-time physician oversight;</w:t>
      </w:r>
    </w:p>
    <w:p w14:paraId="5CD8220A" w14:textId="77777777" w:rsidR="00884F64" w:rsidRPr="00884F64" w:rsidRDefault="00884F64" w:rsidP="00884F64">
      <w:pPr>
        <w:numPr>
          <w:ilvl w:val="0"/>
          <w:numId w:val="19"/>
        </w:numPr>
        <w:rPr>
          <w:rFonts w:ascii="Times New Roman" w:hAnsi="Times New Roman" w:cs="Times New Roman"/>
        </w:rPr>
      </w:pPr>
      <w:r w:rsidRPr="00884F64">
        <w:rPr>
          <w:rFonts w:ascii="Times New Roman" w:hAnsi="Times New Roman" w:cs="Times New Roman"/>
        </w:rPr>
        <w:t>IT support;</w:t>
      </w:r>
    </w:p>
    <w:p w14:paraId="6A9EC48E" w14:textId="77777777" w:rsidR="00884F64" w:rsidRPr="00884F64" w:rsidRDefault="00884F64" w:rsidP="00884F64">
      <w:pPr>
        <w:numPr>
          <w:ilvl w:val="0"/>
          <w:numId w:val="19"/>
        </w:numPr>
        <w:rPr>
          <w:rFonts w:ascii="Times New Roman" w:hAnsi="Times New Roman" w:cs="Times New Roman"/>
        </w:rPr>
      </w:pPr>
      <w:r w:rsidRPr="00884F64">
        <w:rPr>
          <w:rFonts w:ascii="Times New Roman" w:hAnsi="Times New Roman" w:cs="Times New Roman"/>
        </w:rPr>
        <w:t>data analyst.</w:t>
      </w:r>
    </w:p>
    <w:p w14:paraId="67E75D24"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Collect baseline and post-implementation outcomes.</w:t>
      </w:r>
    </w:p>
    <w:p w14:paraId="31ED1AF3" w14:textId="544613C1" w:rsidR="00884F64" w:rsidRPr="00884F64" w:rsidRDefault="00884F64" w:rsidP="00884F64">
      <w:pPr>
        <w:rPr>
          <w:rFonts w:ascii="Times New Roman" w:hAnsi="Times New Roman" w:cs="Times New Roman"/>
        </w:rPr>
      </w:pPr>
    </w:p>
    <w:p w14:paraId="702FB331"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Phase 4 – Evaluate: Months 9–12</w:t>
      </w:r>
    </w:p>
    <w:p w14:paraId="0C70E734" w14:textId="77777777" w:rsidR="005175EA" w:rsidRDefault="005175EA" w:rsidP="00884F64">
      <w:pPr>
        <w:rPr>
          <w:rFonts w:ascii="Times New Roman" w:hAnsi="Times New Roman" w:cs="Times New Roman"/>
        </w:rPr>
      </w:pPr>
      <w:r w:rsidRPr="005175EA">
        <w:rPr>
          <w:rFonts w:ascii="Times New Roman" w:hAnsi="Times New Roman" w:cs="Times New Roman"/>
        </w:rPr>
        <w:drawing>
          <wp:inline distT="0" distB="0" distL="0" distR="0" wp14:anchorId="320A719E" wp14:editId="55B5858D">
            <wp:extent cx="2029108" cy="2372056"/>
            <wp:effectExtent l="0" t="0" r="9525" b="9525"/>
            <wp:docPr id="1108463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8463904" name=""/>
                    <pic:cNvPicPr/>
                  </pic:nvPicPr>
                  <pic:blipFill>
                    <a:blip r:embed="rId18"/>
                    <a:stretch>
                      <a:fillRect/>
                    </a:stretch>
                  </pic:blipFill>
                  <pic:spPr>
                    <a:xfrm>
                      <a:off x="0" y="0"/>
                      <a:ext cx="2029108" cy="2372056"/>
                    </a:xfrm>
                    <a:prstGeom prst="rect">
                      <a:avLst/>
                    </a:prstGeom>
                  </pic:spPr>
                </pic:pic>
              </a:graphicData>
            </a:graphic>
          </wp:inline>
        </w:drawing>
      </w:r>
    </w:p>
    <w:p w14:paraId="4F7FE239" w14:textId="2FD1532E" w:rsidR="00884F64" w:rsidRPr="00884F64" w:rsidRDefault="00884F64" w:rsidP="00884F64">
      <w:pPr>
        <w:rPr>
          <w:rFonts w:ascii="Times New Roman" w:hAnsi="Times New Roman" w:cs="Times New Roman"/>
        </w:rPr>
      </w:pPr>
      <w:r w:rsidRPr="00884F64">
        <w:rPr>
          <w:rFonts w:ascii="Times New Roman" w:hAnsi="Times New Roman" w:cs="Times New Roman"/>
        </w:rPr>
        <w:t>Scale only if predefined clinical and operational criteria are met.</w:t>
      </w:r>
    </w:p>
    <w:p w14:paraId="7816898F" w14:textId="1F70BAAB" w:rsidR="00884F64" w:rsidRPr="00884F64" w:rsidRDefault="00884F64" w:rsidP="00884F64">
      <w:pPr>
        <w:rPr>
          <w:rFonts w:ascii="Times New Roman" w:hAnsi="Times New Roman" w:cs="Times New Roman"/>
        </w:rPr>
      </w:pPr>
    </w:p>
    <w:p w14:paraId="13A81F86"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lastRenderedPageBreak/>
        <w:t>Phase 5 – Scale: Year 2</w:t>
      </w:r>
    </w:p>
    <w:p w14:paraId="33CE12CD"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Extend the platform to additional chronic conditions and post-operative monitoring.</w:t>
      </w:r>
    </w:p>
    <w:p w14:paraId="03B40204"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same core infrastructure should support multiple pathways, reducing marginal implementation costs.</w:t>
      </w:r>
    </w:p>
    <w:p w14:paraId="2BBE0821" w14:textId="627F2D05" w:rsidR="00884F64" w:rsidRPr="00884F64" w:rsidRDefault="00884F64" w:rsidP="00884F64">
      <w:pPr>
        <w:rPr>
          <w:rFonts w:ascii="Times New Roman" w:hAnsi="Times New Roman" w:cs="Times New Roman"/>
        </w:rPr>
      </w:pPr>
    </w:p>
    <w:p w14:paraId="344AA811"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6.7 Digital-Care Evaluation Framework</w:t>
      </w:r>
    </w:p>
    <w:p w14:paraId="2F1E51FE"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A workable evaluation scorecard is proposed.</w:t>
      </w:r>
    </w:p>
    <w:tbl>
      <w:tblPr>
        <w:tblStyle w:val="TableGrid"/>
        <w:tblW w:w="0" w:type="auto"/>
        <w:tblLook w:val="04A0" w:firstRow="1" w:lastRow="0" w:firstColumn="1" w:lastColumn="0" w:noHBand="0" w:noVBand="1"/>
      </w:tblPr>
      <w:tblGrid>
        <w:gridCol w:w="1346"/>
        <w:gridCol w:w="3158"/>
        <w:gridCol w:w="3846"/>
      </w:tblGrid>
      <w:tr w:rsidR="00884F64" w:rsidRPr="00884F64" w14:paraId="49F517F5" w14:textId="77777777" w:rsidTr="005175EA">
        <w:tc>
          <w:tcPr>
            <w:tcW w:w="0" w:type="auto"/>
            <w:hideMark/>
          </w:tcPr>
          <w:p w14:paraId="393C517E"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Dimension</w:t>
            </w:r>
          </w:p>
        </w:tc>
        <w:tc>
          <w:tcPr>
            <w:tcW w:w="0" w:type="auto"/>
            <w:hideMark/>
          </w:tcPr>
          <w:p w14:paraId="5A0F2EE8"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KPI</w:t>
            </w:r>
          </w:p>
        </w:tc>
        <w:tc>
          <w:tcPr>
            <w:tcW w:w="0" w:type="auto"/>
            <w:hideMark/>
          </w:tcPr>
          <w:p w14:paraId="138755D9"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Proposed target</w:t>
            </w:r>
          </w:p>
        </w:tc>
      </w:tr>
      <w:tr w:rsidR="00884F64" w:rsidRPr="00884F64" w14:paraId="60AD9C8D" w14:textId="77777777" w:rsidTr="005175EA">
        <w:tc>
          <w:tcPr>
            <w:tcW w:w="0" w:type="auto"/>
            <w:hideMark/>
          </w:tcPr>
          <w:p w14:paraId="5AA4FFB3"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Access</w:t>
            </w:r>
          </w:p>
        </w:tc>
        <w:tc>
          <w:tcPr>
            <w:tcW w:w="0" w:type="auto"/>
            <w:hideMark/>
          </w:tcPr>
          <w:p w14:paraId="06F24CD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Waiting time for follow-up</w:t>
            </w:r>
          </w:p>
        </w:tc>
        <w:tc>
          <w:tcPr>
            <w:tcW w:w="0" w:type="auto"/>
            <w:hideMark/>
          </w:tcPr>
          <w:p w14:paraId="187BCE7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 25%</w:t>
            </w:r>
          </w:p>
        </w:tc>
      </w:tr>
      <w:tr w:rsidR="00884F64" w:rsidRPr="00884F64" w14:paraId="657C0EB1" w14:textId="77777777" w:rsidTr="005175EA">
        <w:tc>
          <w:tcPr>
            <w:tcW w:w="0" w:type="auto"/>
            <w:hideMark/>
          </w:tcPr>
          <w:p w14:paraId="7F5BB2D2"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Operations</w:t>
            </w:r>
          </w:p>
        </w:tc>
        <w:tc>
          <w:tcPr>
            <w:tcW w:w="0" w:type="auto"/>
            <w:hideMark/>
          </w:tcPr>
          <w:p w14:paraId="7BE82E2D"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Avoidable physical follow-ups</w:t>
            </w:r>
          </w:p>
        </w:tc>
        <w:tc>
          <w:tcPr>
            <w:tcW w:w="0" w:type="auto"/>
            <w:hideMark/>
          </w:tcPr>
          <w:p w14:paraId="15407959"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 20%</w:t>
            </w:r>
          </w:p>
        </w:tc>
      </w:tr>
      <w:tr w:rsidR="00884F64" w:rsidRPr="00884F64" w14:paraId="04A6F8ED" w14:textId="77777777" w:rsidTr="005175EA">
        <w:tc>
          <w:tcPr>
            <w:tcW w:w="0" w:type="auto"/>
            <w:hideMark/>
          </w:tcPr>
          <w:p w14:paraId="634C8174"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Operations</w:t>
            </w:r>
          </w:p>
        </w:tc>
        <w:tc>
          <w:tcPr>
            <w:tcW w:w="0" w:type="auto"/>
            <w:hideMark/>
          </w:tcPr>
          <w:p w14:paraId="090F213A"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Alert reviewed within SLA</w:t>
            </w:r>
          </w:p>
        </w:tc>
        <w:tc>
          <w:tcPr>
            <w:tcW w:w="0" w:type="auto"/>
            <w:hideMark/>
          </w:tcPr>
          <w:p w14:paraId="247A58A2"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≥95%</w:t>
            </w:r>
          </w:p>
        </w:tc>
      </w:tr>
      <w:tr w:rsidR="00884F64" w:rsidRPr="00884F64" w14:paraId="33E9F9C0" w14:textId="77777777" w:rsidTr="005175EA">
        <w:tc>
          <w:tcPr>
            <w:tcW w:w="0" w:type="auto"/>
            <w:hideMark/>
          </w:tcPr>
          <w:p w14:paraId="14A846C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Clinical</w:t>
            </w:r>
          </w:p>
        </w:tc>
        <w:tc>
          <w:tcPr>
            <w:tcW w:w="0" w:type="auto"/>
            <w:hideMark/>
          </w:tcPr>
          <w:p w14:paraId="16B13B35"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30-day readmission</w:t>
            </w:r>
          </w:p>
        </w:tc>
        <w:tc>
          <w:tcPr>
            <w:tcW w:w="0" w:type="auto"/>
            <w:hideMark/>
          </w:tcPr>
          <w:p w14:paraId="28392916"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 10%</w:t>
            </w:r>
          </w:p>
        </w:tc>
      </w:tr>
      <w:tr w:rsidR="00884F64" w:rsidRPr="00884F64" w14:paraId="02A30977" w14:textId="77777777" w:rsidTr="005175EA">
        <w:tc>
          <w:tcPr>
            <w:tcW w:w="0" w:type="auto"/>
            <w:hideMark/>
          </w:tcPr>
          <w:p w14:paraId="321EFC8A"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Clinical</w:t>
            </w:r>
          </w:p>
        </w:tc>
        <w:tc>
          <w:tcPr>
            <w:tcW w:w="0" w:type="auto"/>
            <w:hideMark/>
          </w:tcPr>
          <w:p w14:paraId="69CB000A"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ED presentation</w:t>
            </w:r>
          </w:p>
        </w:tc>
        <w:tc>
          <w:tcPr>
            <w:tcW w:w="0" w:type="auto"/>
            <w:hideMark/>
          </w:tcPr>
          <w:p w14:paraId="2BCD6B88"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 10%</w:t>
            </w:r>
          </w:p>
        </w:tc>
      </w:tr>
      <w:tr w:rsidR="00884F64" w:rsidRPr="00884F64" w14:paraId="6D221AC5" w14:textId="77777777" w:rsidTr="005175EA">
        <w:tc>
          <w:tcPr>
            <w:tcW w:w="0" w:type="auto"/>
            <w:hideMark/>
          </w:tcPr>
          <w:p w14:paraId="43AED187"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Clinical</w:t>
            </w:r>
          </w:p>
        </w:tc>
        <w:tc>
          <w:tcPr>
            <w:tcW w:w="0" w:type="auto"/>
            <w:hideMark/>
          </w:tcPr>
          <w:p w14:paraId="24A903D6"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Disease-specific control</w:t>
            </w:r>
          </w:p>
        </w:tc>
        <w:tc>
          <w:tcPr>
            <w:tcW w:w="0" w:type="auto"/>
            <w:hideMark/>
          </w:tcPr>
          <w:p w14:paraId="0304E06B"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Improvement</w:t>
            </w:r>
          </w:p>
        </w:tc>
      </w:tr>
      <w:tr w:rsidR="00884F64" w:rsidRPr="00884F64" w14:paraId="3574940B" w14:textId="77777777" w:rsidTr="005175EA">
        <w:tc>
          <w:tcPr>
            <w:tcW w:w="0" w:type="auto"/>
            <w:hideMark/>
          </w:tcPr>
          <w:p w14:paraId="5069F6B9"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Financial</w:t>
            </w:r>
          </w:p>
        </w:tc>
        <w:tc>
          <w:tcPr>
            <w:tcW w:w="0" w:type="auto"/>
            <w:hideMark/>
          </w:tcPr>
          <w:p w14:paraId="0C2AEB0E"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Cost per monitored patient</w:t>
            </w:r>
          </w:p>
        </w:tc>
        <w:tc>
          <w:tcPr>
            <w:tcW w:w="0" w:type="auto"/>
            <w:hideMark/>
          </w:tcPr>
          <w:p w14:paraId="65883560"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 over scale</w:t>
            </w:r>
          </w:p>
        </w:tc>
      </w:tr>
      <w:tr w:rsidR="00884F64" w:rsidRPr="00884F64" w14:paraId="149E4610" w14:textId="77777777" w:rsidTr="005175EA">
        <w:tc>
          <w:tcPr>
            <w:tcW w:w="0" w:type="auto"/>
            <w:hideMark/>
          </w:tcPr>
          <w:p w14:paraId="5460409D"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Financial</w:t>
            </w:r>
          </w:p>
        </w:tc>
        <w:tc>
          <w:tcPr>
            <w:tcW w:w="0" w:type="auto"/>
            <w:hideMark/>
          </w:tcPr>
          <w:p w14:paraId="0B9B9FFB"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Avoided acute-care cost</w:t>
            </w:r>
          </w:p>
        </w:tc>
        <w:tc>
          <w:tcPr>
            <w:tcW w:w="0" w:type="auto"/>
            <w:hideMark/>
          </w:tcPr>
          <w:p w14:paraId="6C550499"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&gt; programme cost over target horizon</w:t>
            </w:r>
          </w:p>
        </w:tc>
      </w:tr>
      <w:tr w:rsidR="00884F64" w:rsidRPr="00884F64" w14:paraId="136F0C8C" w14:textId="77777777" w:rsidTr="005175EA">
        <w:tc>
          <w:tcPr>
            <w:tcW w:w="0" w:type="auto"/>
            <w:hideMark/>
          </w:tcPr>
          <w:p w14:paraId="16F29D9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Patient</w:t>
            </w:r>
          </w:p>
        </w:tc>
        <w:tc>
          <w:tcPr>
            <w:tcW w:w="0" w:type="auto"/>
            <w:hideMark/>
          </w:tcPr>
          <w:p w14:paraId="74958D03"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Satisfaction</w:t>
            </w:r>
          </w:p>
        </w:tc>
        <w:tc>
          <w:tcPr>
            <w:tcW w:w="0" w:type="auto"/>
            <w:hideMark/>
          </w:tcPr>
          <w:p w14:paraId="284FAB65"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≥85%</w:t>
            </w:r>
          </w:p>
        </w:tc>
      </w:tr>
      <w:tr w:rsidR="00884F64" w:rsidRPr="00884F64" w14:paraId="79753EED" w14:textId="77777777" w:rsidTr="005175EA">
        <w:tc>
          <w:tcPr>
            <w:tcW w:w="0" w:type="auto"/>
            <w:hideMark/>
          </w:tcPr>
          <w:p w14:paraId="26411BF2"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Patient</w:t>
            </w:r>
          </w:p>
        </w:tc>
        <w:tc>
          <w:tcPr>
            <w:tcW w:w="0" w:type="auto"/>
            <w:hideMark/>
          </w:tcPr>
          <w:p w14:paraId="2AD9D886"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RPM adherence</w:t>
            </w:r>
          </w:p>
        </w:tc>
        <w:tc>
          <w:tcPr>
            <w:tcW w:w="0" w:type="auto"/>
            <w:hideMark/>
          </w:tcPr>
          <w:p w14:paraId="02545CB5"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≥80%</w:t>
            </w:r>
          </w:p>
        </w:tc>
      </w:tr>
      <w:tr w:rsidR="00884F64" w:rsidRPr="00884F64" w14:paraId="1491B3B8" w14:textId="77777777" w:rsidTr="005175EA">
        <w:tc>
          <w:tcPr>
            <w:tcW w:w="0" w:type="auto"/>
            <w:hideMark/>
          </w:tcPr>
          <w:p w14:paraId="21FC0CA1"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Workforce</w:t>
            </w:r>
          </w:p>
        </w:tc>
        <w:tc>
          <w:tcPr>
            <w:tcW w:w="0" w:type="auto"/>
            <w:hideMark/>
          </w:tcPr>
          <w:p w14:paraId="5D7D30B6"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Clinician satisfaction</w:t>
            </w:r>
          </w:p>
        </w:tc>
        <w:tc>
          <w:tcPr>
            <w:tcW w:w="0" w:type="auto"/>
            <w:hideMark/>
          </w:tcPr>
          <w:p w14:paraId="26C2A71C"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Improvement</w:t>
            </w:r>
          </w:p>
        </w:tc>
      </w:tr>
      <w:tr w:rsidR="00884F64" w:rsidRPr="00884F64" w14:paraId="1227E8EA" w14:textId="77777777" w:rsidTr="005175EA">
        <w:tc>
          <w:tcPr>
            <w:tcW w:w="0" w:type="auto"/>
            <w:hideMark/>
          </w:tcPr>
          <w:p w14:paraId="34A84574"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Workforce</w:t>
            </w:r>
          </w:p>
        </w:tc>
        <w:tc>
          <w:tcPr>
            <w:tcW w:w="0" w:type="auto"/>
            <w:hideMark/>
          </w:tcPr>
          <w:p w14:paraId="367D420B"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Alerts per clinician/day</w:t>
            </w:r>
          </w:p>
        </w:tc>
        <w:tc>
          <w:tcPr>
            <w:tcW w:w="0" w:type="auto"/>
            <w:hideMark/>
          </w:tcPr>
          <w:p w14:paraId="7E5B5DBC"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Controlled</w:t>
            </w:r>
          </w:p>
        </w:tc>
      </w:tr>
      <w:tr w:rsidR="00884F64" w:rsidRPr="00884F64" w14:paraId="20793669" w14:textId="77777777" w:rsidTr="005175EA">
        <w:tc>
          <w:tcPr>
            <w:tcW w:w="0" w:type="auto"/>
            <w:hideMark/>
          </w:tcPr>
          <w:p w14:paraId="201F16FA"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Equity</w:t>
            </w:r>
          </w:p>
        </w:tc>
        <w:tc>
          <w:tcPr>
            <w:tcW w:w="0" w:type="auto"/>
            <w:hideMark/>
          </w:tcPr>
          <w:p w14:paraId="63C1309C"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Successful digital onboarding</w:t>
            </w:r>
          </w:p>
        </w:tc>
        <w:tc>
          <w:tcPr>
            <w:tcW w:w="0" w:type="auto"/>
            <w:hideMark/>
          </w:tcPr>
          <w:p w14:paraId="0572CEEE"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≥90%</w:t>
            </w:r>
          </w:p>
        </w:tc>
      </w:tr>
      <w:tr w:rsidR="00884F64" w:rsidRPr="00884F64" w14:paraId="37E908E3" w14:textId="77777777" w:rsidTr="005175EA">
        <w:tc>
          <w:tcPr>
            <w:tcW w:w="0" w:type="auto"/>
            <w:hideMark/>
          </w:tcPr>
          <w:p w14:paraId="65292B97"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Technology</w:t>
            </w:r>
          </w:p>
        </w:tc>
        <w:tc>
          <w:tcPr>
            <w:tcW w:w="0" w:type="auto"/>
            <w:hideMark/>
          </w:tcPr>
          <w:p w14:paraId="777A2AB3"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Platform uptime</w:t>
            </w:r>
          </w:p>
        </w:tc>
        <w:tc>
          <w:tcPr>
            <w:tcW w:w="0" w:type="auto"/>
            <w:hideMark/>
          </w:tcPr>
          <w:p w14:paraId="24C515FB"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≥99.5%</w:t>
            </w:r>
          </w:p>
        </w:tc>
      </w:tr>
      <w:tr w:rsidR="00884F64" w:rsidRPr="00884F64" w14:paraId="67217C0F" w14:textId="77777777" w:rsidTr="005175EA">
        <w:tc>
          <w:tcPr>
            <w:tcW w:w="0" w:type="auto"/>
            <w:hideMark/>
          </w:tcPr>
          <w:p w14:paraId="0206C9FB"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Security</w:t>
            </w:r>
          </w:p>
        </w:tc>
        <w:tc>
          <w:tcPr>
            <w:tcW w:w="0" w:type="auto"/>
            <w:hideMark/>
          </w:tcPr>
          <w:p w14:paraId="597F49AB"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Serious data breaches</w:t>
            </w:r>
          </w:p>
        </w:tc>
        <w:tc>
          <w:tcPr>
            <w:tcW w:w="0" w:type="auto"/>
            <w:hideMark/>
          </w:tcPr>
          <w:p w14:paraId="033A1AC4"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0</w:t>
            </w:r>
          </w:p>
        </w:tc>
      </w:tr>
    </w:tbl>
    <w:p w14:paraId="0AA147C3"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These figures are </w:t>
      </w:r>
      <w:r w:rsidRPr="00884F64">
        <w:rPr>
          <w:rFonts w:ascii="Times New Roman" w:hAnsi="Times New Roman" w:cs="Times New Roman"/>
          <w:b/>
          <w:bCs/>
        </w:rPr>
        <w:t>proposed management targets</w:t>
      </w:r>
      <w:r w:rsidRPr="00884F64">
        <w:rPr>
          <w:rFonts w:ascii="Times New Roman" w:hAnsi="Times New Roman" w:cs="Times New Roman"/>
        </w:rPr>
        <w:t>, not universal evidence-based benchmarks.</w:t>
      </w:r>
    </w:p>
    <w:p w14:paraId="684AB511"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Evaluation should occur at:</w:t>
      </w:r>
    </w:p>
    <w:p w14:paraId="50BD8708" w14:textId="77777777" w:rsidR="005175EA" w:rsidRDefault="005175EA" w:rsidP="00884F64">
      <w:pPr>
        <w:rPr>
          <w:rFonts w:ascii="Times New Roman" w:hAnsi="Times New Roman" w:cs="Times New Roman"/>
        </w:rPr>
      </w:pPr>
      <w:r w:rsidRPr="005175EA">
        <w:rPr>
          <w:rFonts w:ascii="Times New Roman" w:hAnsi="Times New Roman" w:cs="Times New Roman"/>
        </w:rPr>
        <w:lastRenderedPageBreak/>
        <w:drawing>
          <wp:inline distT="0" distB="0" distL="0" distR="0" wp14:anchorId="4708E63B" wp14:editId="3B7550F5">
            <wp:extent cx="1352739" cy="1247949"/>
            <wp:effectExtent l="0" t="0" r="0" b="9525"/>
            <wp:docPr id="7453661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366180" name=""/>
                    <pic:cNvPicPr/>
                  </pic:nvPicPr>
                  <pic:blipFill>
                    <a:blip r:embed="rId19"/>
                    <a:stretch>
                      <a:fillRect/>
                    </a:stretch>
                  </pic:blipFill>
                  <pic:spPr>
                    <a:xfrm>
                      <a:off x="0" y="0"/>
                      <a:ext cx="1352739" cy="1247949"/>
                    </a:xfrm>
                    <a:prstGeom prst="rect">
                      <a:avLst/>
                    </a:prstGeom>
                  </pic:spPr>
                </pic:pic>
              </a:graphicData>
            </a:graphic>
          </wp:inline>
        </w:drawing>
      </w:r>
    </w:p>
    <w:p w14:paraId="5003DFC0" w14:textId="1EAF9395" w:rsidR="00884F64" w:rsidRPr="00884F64" w:rsidRDefault="00884F64" w:rsidP="00884F64">
      <w:pPr>
        <w:rPr>
          <w:rFonts w:ascii="Times New Roman" w:hAnsi="Times New Roman" w:cs="Times New Roman"/>
        </w:rPr>
      </w:pPr>
      <w:r w:rsidRPr="00884F64">
        <w:rPr>
          <w:rFonts w:ascii="Times New Roman" w:hAnsi="Times New Roman" w:cs="Times New Roman"/>
        </w:rPr>
        <w:t>A controlled comparison with similar patients receiving usual care would provide stronger evidence than a simple before-and-after comparison.</w:t>
      </w:r>
    </w:p>
    <w:p w14:paraId="3FABB219" w14:textId="11F217D3" w:rsidR="00884F64" w:rsidRPr="00884F64" w:rsidRDefault="00884F64" w:rsidP="00884F64">
      <w:pPr>
        <w:rPr>
          <w:rFonts w:ascii="Times New Roman" w:hAnsi="Times New Roman" w:cs="Times New Roman"/>
        </w:rPr>
      </w:pPr>
    </w:p>
    <w:p w14:paraId="38DC51C2"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7. Conclusion and Recommendations</w:t>
      </w:r>
    </w:p>
    <w:p w14:paraId="77394FCC"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Telemedicine, RPM, IoMT devices and patient-facing digital technologies are changing healthcare from a model centred predominantly on physical encounters toward a hybrid model combining home monitoring, virtual interaction and facility-based care.</w:t>
      </w:r>
    </w:p>
    <w:p w14:paraId="6CB73A85" w14:textId="4D3E7296"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The evidence demonstrates meaningful potential but also substantial variation. Taylor et al.'s systematic review found reduced hospital admission, length of stay or emergency use in substantial proportions of RPM studies, but many interventions produced no significant reduction. </w:t>
      </w:r>
      <w:hyperlink r:id="rId20" w:history="1">
        <w:r w:rsidRPr="00884F64">
          <w:rPr>
            <w:rStyle w:val="Hyperlink"/>
            <w:rFonts w:ascii="Times New Roman" w:hAnsi="Times New Roman" w:cs="Times New Roman"/>
          </w:rPr>
          <w:t>DOI</w:t>
        </w:r>
      </w:hyperlink>
      <w:r w:rsidRPr="00884F64">
        <w:rPr>
          <w:rFonts w:ascii="Times New Roman" w:hAnsi="Times New Roman" w:cs="Times New Roman"/>
        </w:rPr>
        <w:t xml:space="preserve"> Tan et al.'s 2024 systematic review similarly identified promising but heterogeneous effects across patient safety, adherence, quality of life and economic outcomes. </w:t>
      </w:r>
      <w:hyperlink r:id="rId21" w:history="1">
        <w:r>
          <w:rPr>
            <w:rStyle w:val="Hyperlink"/>
            <w:rFonts w:ascii="Times New Roman" w:hAnsi="Times New Roman" w:cs="Times New Roman"/>
          </w:rPr>
          <w:t xml:space="preserve"> </w:t>
        </w:r>
      </w:hyperlink>
      <w:r w:rsidRPr="00884F64">
        <w:rPr>
          <w:rFonts w:ascii="Times New Roman" w:hAnsi="Times New Roman" w:cs="Times New Roman"/>
        </w:rPr>
        <w:t xml:space="preserve"> Therefore, hospitals should not assume that purchasing RPM technology will automatically reduce admissions.</w:t>
      </w:r>
    </w:p>
    <w:p w14:paraId="4C4CF26F" w14:textId="4398C9B6"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Economic evidence reinforces this conclusion. RPM can be cost-effective in selected chronic-disease contexts, but the outcome depends on patient selection, staffing, technology costs, disease severity and organisational processes. </w:t>
      </w:r>
      <w:hyperlink r:id="rId22" w:history="1">
        <w:r>
          <w:rPr>
            <w:rStyle w:val="Hyperlink"/>
            <w:rFonts w:ascii="Times New Roman" w:hAnsi="Times New Roman" w:cs="Times New Roman"/>
          </w:rPr>
          <w:t xml:space="preserve">  </w:t>
        </w:r>
      </w:hyperlink>
      <w:r w:rsidRPr="00884F64">
        <w:rPr>
          <w:rFonts w:ascii="Times New Roman" w:hAnsi="Times New Roman" w:cs="Times New Roman"/>
        </w:rPr>
        <w:t xml:space="preserve"> Recent research also demonstrates that economic evaluations frequently differ in which implementation costs they include, making local cost measurement essential. </w:t>
      </w:r>
      <w:hyperlink r:id="rId23" w:history="1">
        <w:r w:rsidRPr="00884F64">
          <w:rPr>
            <w:rStyle w:val="Hyperlink"/>
            <w:rFonts w:ascii="Times New Roman" w:hAnsi="Times New Roman" w:cs="Times New Roman"/>
          </w:rPr>
          <w:t>DOI</w:t>
        </w:r>
      </w:hyperlink>
    </w:p>
    <w:p w14:paraId="3EFD5860"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 xml:space="preserve">Five recommendations follow. </w:t>
      </w:r>
      <w:r w:rsidRPr="00884F64">
        <w:rPr>
          <w:rFonts w:ascii="Times New Roman" w:hAnsi="Times New Roman" w:cs="Times New Roman"/>
          <w:b/>
          <w:bCs/>
        </w:rPr>
        <w:t>First</w:t>
      </w:r>
      <w:r w:rsidRPr="00884F64">
        <w:rPr>
          <w:rFonts w:ascii="Times New Roman" w:hAnsi="Times New Roman" w:cs="Times New Roman"/>
        </w:rPr>
        <w:t xml:space="preserve">, mid-sized hospitals should begin with narrowly defined high-risk pathways rather than hospital-wide deployment. </w:t>
      </w:r>
      <w:r w:rsidRPr="00884F64">
        <w:rPr>
          <w:rFonts w:ascii="Times New Roman" w:hAnsi="Times New Roman" w:cs="Times New Roman"/>
          <w:b/>
          <w:bCs/>
        </w:rPr>
        <w:t>Second</w:t>
      </w:r>
      <w:r w:rsidRPr="00884F64">
        <w:rPr>
          <w:rFonts w:ascii="Times New Roman" w:hAnsi="Times New Roman" w:cs="Times New Roman"/>
        </w:rPr>
        <w:t xml:space="preserve">, telemedicine and RPM should integrate with the EHR to prevent new information silos. </w:t>
      </w:r>
      <w:r w:rsidRPr="00884F64">
        <w:rPr>
          <w:rFonts w:ascii="Times New Roman" w:hAnsi="Times New Roman" w:cs="Times New Roman"/>
          <w:b/>
          <w:bCs/>
        </w:rPr>
        <w:t>Third</w:t>
      </w:r>
      <w:r w:rsidRPr="00884F64">
        <w:rPr>
          <w:rFonts w:ascii="Times New Roman" w:hAnsi="Times New Roman" w:cs="Times New Roman"/>
        </w:rPr>
        <w:t xml:space="preserve">, monitoring should use risk-based alerts and tiered clinical escalation to prevent data overload. </w:t>
      </w:r>
      <w:r w:rsidRPr="00884F64">
        <w:rPr>
          <w:rFonts w:ascii="Times New Roman" w:hAnsi="Times New Roman" w:cs="Times New Roman"/>
          <w:b/>
          <w:bCs/>
        </w:rPr>
        <w:t>Fourth</w:t>
      </w:r>
      <w:r w:rsidRPr="00884F64">
        <w:rPr>
          <w:rFonts w:ascii="Times New Roman" w:hAnsi="Times New Roman" w:cs="Times New Roman"/>
        </w:rPr>
        <w:t xml:space="preserve">, implementation must include clinician co-design, patient digital-literacy support and non-digital alternatives to protect equity. </w:t>
      </w:r>
      <w:r w:rsidRPr="00884F64">
        <w:rPr>
          <w:rFonts w:ascii="Times New Roman" w:hAnsi="Times New Roman" w:cs="Times New Roman"/>
          <w:b/>
          <w:bCs/>
        </w:rPr>
        <w:t>Fifth</w:t>
      </w:r>
      <w:r w:rsidRPr="00884F64">
        <w:rPr>
          <w:rFonts w:ascii="Times New Roman" w:hAnsi="Times New Roman" w:cs="Times New Roman"/>
        </w:rPr>
        <w:t>, expansion should depend on measurable evidence across clinical outcomes, utilisation, costs, patient experience and workforce impact.</w:t>
      </w:r>
    </w:p>
    <w:p w14:paraId="183442BA"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The recommended strategy can therefore be summarised as:</w:t>
      </w:r>
    </w:p>
    <w:p w14:paraId="56B5651C" w14:textId="5CD05DC2" w:rsidR="00884F64" w:rsidRPr="00884F64" w:rsidRDefault="005175EA" w:rsidP="00884F64">
      <w:pPr>
        <w:rPr>
          <w:rFonts w:ascii="Times New Roman" w:hAnsi="Times New Roman" w:cs="Times New Roman"/>
        </w:rPr>
      </w:pPr>
      <m:oMathPara>
        <m:oMath>
          <m:borderBox>
            <m:borderBoxPr>
              <m:ctrlPr>
                <w:rPr>
                  <w:rFonts w:ascii="Cambria Math" w:hAnsi="Cambria Math" w:cs="Times New Roman"/>
                </w:rPr>
              </m:ctrlPr>
            </m:borderBoxPr>
            <m:e>
              <m:r>
                <w:rPr>
                  <w:rFonts w:ascii="Cambria Math" w:hAnsi="Cambria Math" w:cs="Times New Roman"/>
                </w:rPr>
                <m:t>Identify High</m:t>
              </m:r>
              <m:r>
                <m:rPr>
                  <m:nor/>
                </m:rPr>
                <w:rPr>
                  <w:rFonts w:ascii="Times New Roman" w:hAnsi="Times New Roman" w:cs="Times New Roman"/>
                </w:rPr>
                <m:t>-</m:t>
              </m:r>
              <m:r>
                <w:rPr>
                  <w:rFonts w:ascii="Cambria Math" w:hAnsi="Cambria Math" w:cs="Times New Roman"/>
                </w:rPr>
                <m:t>Value Patients→Pilot→Integrate→Measure→Improve→Scale</m:t>
              </m:r>
            </m:e>
          </m:borderBox>
          <m:r>
            <w:rPr>
              <w:rFonts w:ascii="Times New Roman" w:hAnsi="Times New Roman" w:cs="Times New Roman"/>
            </w:rPr>
            <w:br/>
          </m:r>
        </m:oMath>
      </m:oMathPara>
      <w:r w:rsidR="00884F64" w:rsidRPr="00884F64">
        <w:rPr>
          <w:rFonts w:ascii="Times New Roman" w:hAnsi="Times New Roman" w:cs="Times New Roman"/>
        </w:rPr>
        <w:t xml:space="preserve">The strategic purpose of digital care is not to replace hospitals or healthcare professionals. It is to ensure that </w:t>
      </w:r>
      <w:r w:rsidR="00884F64" w:rsidRPr="00884F64">
        <w:rPr>
          <w:rFonts w:ascii="Times New Roman" w:hAnsi="Times New Roman" w:cs="Times New Roman"/>
          <w:b/>
          <w:bCs/>
        </w:rPr>
        <w:t>patients receive the appropriate level of care, through the appropriate channel, at the appropriate time</w:t>
      </w:r>
      <w:r w:rsidR="00884F64" w:rsidRPr="00884F64">
        <w:rPr>
          <w:rFonts w:ascii="Times New Roman" w:hAnsi="Times New Roman" w:cs="Times New Roman"/>
        </w:rPr>
        <w:t>, while scarce clinical resources are concentrated where they create the greatest value.</w:t>
      </w:r>
    </w:p>
    <w:p w14:paraId="07F4D118"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pict w14:anchorId="29419BBA">
          <v:rect id="_x0000_i1630" style="width:0;height:1.5pt" o:hralign="center" o:hrstd="t" o:hr="t" fillcolor="#a0a0a0" stroked="f"/>
        </w:pict>
      </w:r>
    </w:p>
    <w:p w14:paraId="56064B1A"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References</w:t>
      </w:r>
    </w:p>
    <w:p w14:paraId="4A7C05ED" w14:textId="41F650FB" w:rsidR="00884F64" w:rsidRPr="00884F64" w:rsidRDefault="00884F64" w:rsidP="00884F64">
      <w:pPr>
        <w:numPr>
          <w:ilvl w:val="0"/>
          <w:numId w:val="20"/>
        </w:numPr>
        <w:rPr>
          <w:rFonts w:ascii="Times New Roman" w:hAnsi="Times New Roman" w:cs="Times New Roman"/>
        </w:rPr>
      </w:pPr>
      <w:r w:rsidRPr="00884F64">
        <w:rPr>
          <w:rFonts w:ascii="Times New Roman" w:hAnsi="Times New Roman" w:cs="Times New Roman"/>
        </w:rPr>
        <w:t xml:space="preserve">Tan, S. Y., Sumner, J., Wang, Y., &amp; Yip, A. W. (2024). A systematic review of the impacts of remote patient monitoring interventions on safety, adherence, quality-of-life and cost-related outcomes. </w:t>
      </w:r>
      <w:proofErr w:type="spellStart"/>
      <w:r w:rsidRPr="00884F64">
        <w:rPr>
          <w:rFonts w:ascii="Times New Roman" w:hAnsi="Times New Roman" w:cs="Times New Roman"/>
          <w:i/>
          <w:iCs/>
        </w:rPr>
        <w:t>npj</w:t>
      </w:r>
      <w:proofErr w:type="spellEnd"/>
      <w:r w:rsidRPr="00884F64">
        <w:rPr>
          <w:rFonts w:ascii="Times New Roman" w:hAnsi="Times New Roman" w:cs="Times New Roman"/>
          <w:i/>
          <w:iCs/>
        </w:rPr>
        <w:t xml:space="preserve"> Digital Medicine, 7</w:t>
      </w:r>
      <w:r w:rsidRPr="00884F64">
        <w:rPr>
          <w:rFonts w:ascii="Times New Roman" w:hAnsi="Times New Roman" w:cs="Times New Roman"/>
        </w:rPr>
        <w:t xml:space="preserve">, 192. DOI: 10.1038/s41746-024-01182-w. </w:t>
      </w:r>
      <w:hyperlink r:id="rId24" w:history="1">
        <w:r>
          <w:rPr>
            <w:rStyle w:val="Hyperlink"/>
            <w:rFonts w:ascii="Times New Roman" w:hAnsi="Times New Roman" w:cs="Times New Roman"/>
          </w:rPr>
          <w:t xml:space="preserve">  </w:t>
        </w:r>
      </w:hyperlink>
    </w:p>
    <w:p w14:paraId="12FC3B01" w14:textId="4CAA2C8D" w:rsidR="00884F64" w:rsidRPr="00884F64" w:rsidRDefault="00884F64" w:rsidP="00884F64">
      <w:pPr>
        <w:numPr>
          <w:ilvl w:val="0"/>
          <w:numId w:val="20"/>
        </w:numPr>
        <w:rPr>
          <w:rFonts w:ascii="Times New Roman" w:hAnsi="Times New Roman" w:cs="Times New Roman"/>
        </w:rPr>
      </w:pPr>
      <w:r w:rsidRPr="00884F64">
        <w:rPr>
          <w:rFonts w:ascii="Times New Roman" w:hAnsi="Times New Roman" w:cs="Times New Roman"/>
        </w:rPr>
        <w:t xml:space="preserve">Taylor, M. L., Thomas, E. E., </w:t>
      </w:r>
      <w:proofErr w:type="spellStart"/>
      <w:r w:rsidRPr="00884F64">
        <w:rPr>
          <w:rFonts w:ascii="Times New Roman" w:hAnsi="Times New Roman" w:cs="Times New Roman"/>
        </w:rPr>
        <w:t>Snoswell</w:t>
      </w:r>
      <w:proofErr w:type="spellEnd"/>
      <w:r w:rsidRPr="00884F64">
        <w:rPr>
          <w:rFonts w:ascii="Times New Roman" w:hAnsi="Times New Roman" w:cs="Times New Roman"/>
        </w:rPr>
        <w:t xml:space="preserve">, C. L., Smith, A. C., &amp; Caffery, L. J. (2021). Does remote patient monitoring reduce acute care use? A systematic review. </w:t>
      </w:r>
      <w:r w:rsidRPr="00884F64">
        <w:rPr>
          <w:rFonts w:ascii="Times New Roman" w:hAnsi="Times New Roman" w:cs="Times New Roman"/>
          <w:i/>
          <w:iCs/>
        </w:rPr>
        <w:t>BMJ Open, 11</w:t>
      </w:r>
      <w:r w:rsidRPr="00884F64">
        <w:rPr>
          <w:rFonts w:ascii="Times New Roman" w:hAnsi="Times New Roman" w:cs="Times New Roman"/>
        </w:rPr>
        <w:t xml:space="preserve">, e040232. DOI: 10.1136/bmjopen-2020-040232. </w:t>
      </w:r>
      <w:hyperlink r:id="rId25" w:history="1">
        <w:r>
          <w:rPr>
            <w:rStyle w:val="Hyperlink"/>
            <w:rFonts w:ascii="Times New Roman" w:hAnsi="Times New Roman" w:cs="Times New Roman"/>
          </w:rPr>
          <w:t xml:space="preserve">  </w:t>
        </w:r>
      </w:hyperlink>
    </w:p>
    <w:p w14:paraId="71704A09" w14:textId="2A040F83" w:rsidR="00884F64" w:rsidRPr="00884F64" w:rsidRDefault="00884F64" w:rsidP="00884F64">
      <w:pPr>
        <w:numPr>
          <w:ilvl w:val="0"/>
          <w:numId w:val="20"/>
        </w:numPr>
        <w:rPr>
          <w:rFonts w:ascii="Times New Roman" w:hAnsi="Times New Roman" w:cs="Times New Roman"/>
        </w:rPr>
      </w:pPr>
      <w:r w:rsidRPr="00884F64">
        <w:rPr>
          <w:rFonts w:ascii="Times New Roman" w:hAnsi="Times New Roman" w:cs="Times New Roman"/>
        </w:rPr>
        <w:t xml:space="preserve">De Guzman, K. R., </w:t>
      </w:r>
      <w:proofErr w:type="spellStart"/>
      <w:r w:rsidRPr="00884F64">
        <w:rPr>
          <w:rFonts w:ascii="Times New Roman" w:hAnsi="Times New Roman" w:cs="Times New Roman"/>
        </w:rPr>
        <w:t>Snoswell</w:t>
      </w:r>
      <w:proofErr w:type="spellEnd"/>
      <w:r w:rsidRPr="00884F64">
        <w:rPr>
          <w:rFonts w:ascii="Times New Roman" w:hAnsi="Times New Roman" w:cs="Times New Roman"/>
        </w:rPr>
        <w:t xml:space="preserve">, C. L., Taylor, M. L., Gray, L. C., &amp; Caffery, L. J. (2022). Economic evaluations of remote patient monitoring for chronic disease: A systematic review. </w:t>
      </w:r>
      <w:r w:rsidRPr="00884F64">
        <w:rPr>
          <w:rFonts w:ascii="Times New Roman" w:hAnsi="Times New Roman" w:cs="Times New Roman"/>
          <w:i/>
          <w:iCs/>
        </w:rPr>
        <w:t>Value in Health, 25</w:t>
      </w:r>
      <w:r w:rsidRPr="00884F64">
        <w:rPr>
          <w:rFonts w:ascii="Times New Roman" w:hAnsi="Times New Roman" w:cs="Times New Roman"/>
        </w:rPr>
        <w:t xml:space="preserve">(6), 897–913. DOI: 10.1016/j.jval.2021.12.001. </w:t>
      </w:r>
      <w:hyperlink r:id="rId26" w:history="1">
        <w:r>
          <w:rPr>
            <w:rStyle w:val="Hyperlink"/>
            <w:rFonts w:ascii="Times New Roman" w:hAnsi="Times New Roman" w:cs="Times New Roman"/>
          </w:rPr>
          <w:t xml:space="preserve">  </w:t>
        </w:r>
      </w:hyperlink>
    </w:p>
    <w:p w14:paraId="7BD52FB4" w14:textId="05E5DA0B" w:rsidR="00884F64" w:rsidRPr="00884F64" w:rsidRDefault="00884F64" w:rsidP="00884F64">
      <w:pPr>
        <w:numPr>
          <w:ilvl w:val="0"/>
          <w:numId w:val="20"/>
        </w:numPr>
        <w:rPr>
          <w:rFonts w:ascii="Times New Roman" w:hAnsi="Times New Roman" w:cs="Times New Roman"/>
        </w:rPr>
      </w:pPr>
      <w:r w:rsidRPr="00884F64">
        <w:rPr>
          <w:rFonts w:ascii="Times New Roman" w:hAnsi="Times New Roman" w:cs="Times New Roman"/>
        </w:rPr>
        <w:t xml:space="preserve">Zhang, Y., Peña, M. T., Fletcher, L. M., et al. (2023). Economic evaluation and costs of remote patient monitoring for cardiovascular disease in the United States: A systematic review. </w:t>
      </w:r>
      <w:r w:rsidRPr="00884F64">
        <w:rPr>
          <w:rFonts w:ascii="Times New Roman" w:hAnsi="Times New Roman" w:cs="Times New Roman"/>
          <w:i/>
          <w:iCs/>
        </w:rPr>
        <w:t>International Journal of Technology Assessment in Health Care, 39</w:t>
      </w:r>
      <w:r w:rsidRPr="00884F64">
        <w:rPr>
          <w:rFonts w:ascii="Times New Roman" w:hAnsi="Times New Roman" w:cs="Times New Roman"/>
        </w:rPr>
        <w:t xml:space="preserve">(1), e25. DOI: 10.1017/S0266462323000156. </w:t>
      </w:r>
      <w:hyperlink r:id="rId27" w:history="1">
        <w:r>
          <w:rPr>
            <w:rStyle w:val="Hyperlink"/>
            <w:rFonts w:ascii="Times New Roman" w:hAnsi="Times New Roman" w:cs="Times New Roman"/>
          </w:rPr>
          <w:t xml:space="preserve"> </w:t>
        </w:r>
      </w:hyperlink>
    </w:p>
    <w:p w14:paraId="3C941715" w14:textId="72A8C393" w:rsidR="00884F64" w:rsidRPr="00884F64" w:rsidRDefault="00884F64" w:rsidP="00884F64">
      <w:pPr>
        <w:numPr>
          <w:ilvl w:val="0"/>
          <w:numId w:val="20"/>
        </w:numPr>
        <w:rPr>
          <w:rFonts w:ascii="Times New Roman" w:hAnsi="Times New Roman" w:cs="Times New Roman"/>
        </w:rPr>
      </w:pPr>
      <w:r w:rsidRPr="00884F64">
        <w:rPr>
          <w:rFonts w:ascii="Times New Roman" w:hAnsi="Times New Roman" w:cs="Times New Roman"/>
        </w:rPr>
        <w:t xml:space="preserve">Chagas, M. E. V., Jacovas, V. C., Moreira, T. C., et al. (2024). Are we adequately measuring patient satisfaction with telemedicine? A systematic review with a meta-analysis. </w:t>
      </w:r>
      <w:r w:rsidRPr="00884F64">
        <w:rPr>
          <w:rFonts w:ascii="Times New Roman" w:hAnsi="Times New Roman" w:cs="Times New Roman"/>
          <w:i/>
          <w:iCs/>
        </w:rPr>
        <w:t>Telemedicine and e-Health, 30</w:t>
      </w:r>
      <w:r w:rsidRPr="00884F64">
        <w:rPr>
          <w:rFonts w:ascii="Times New Roman" w:hAnsi="Times New Roman" w:cs="Times New Roman"/>
        </w:rPr>
        <w:t xml:space="preserve">(6), 1522–1538. DOI: 10.1089/tmj.2023.0530. </w:t>
      </w:r>
      <w:hyperlink r:id="rId28" w:history="1">
        <w:r>
          <w:rPr>
            <w:rStyle w:val="Hyperlink"/>
            <w:rFonts w:ascii="Times New Roman" w:hAnsi="Times New Roman" w:cs="Times New Roman"/>
          </w:rPr>
          <w:t xml:space="preserve">  </w:t>
        </w:r>
      </w:hyperlink>
    </w:p>
    <w:p w14:paraId="184662DD" w14:textId="42A2519C" w:rsidR="00884F64" w:rsidRPr="00884F64" w:rsidRDefault="00884F64" w:rsidP="00884F64">
      <w:pPr>
        <w:numPr>
          <w:ilvl w:val="0"/>
          <w:numId w:val="20"/>
        </w:numPr>
        <w:rPr>
          <w:rFonts w:ascii="Times New Roman" w:hAnsi="Times New Roman" w:cs="Times New Roman"/>
        </w:rPr>
      </w:pPr>
      <w:r w:rsidRPr="00884F64">
        <w:rPr>
          <w:rFonts w:ascii="Times New Roman" w:hAnsi="Times New Roman" w:cs="Times New Roman"/>
        </w:rPr>
        <w:t xml:space="preserve">Gavan, S. P., Payne, K., Dixon, W. G., van der Veer, S. N., Tam, A. C. T., &amp; </w:t>
      </w:r>
      <w:proofErr w:type="spellStart"/>
      <w:r w:rsidRPr="00884F64">
        <w:rPr>
          <w:rFonts w:ascii="Times New Roman" w:hAnsi="Times New Roman" w:cs="Times New Roman"/>
        </w:rPr>
        <w:t>Bansback</w:t>
      </w:r>
      <w:proofErr w:type="spellEnd"/>
      <w:r w:rsidRPr="00884F64">
        <w:rPr>
          <w:rFonts w:ascii="Times New Roman" w:hAnsi="Times New Roman" w:cs="Times New Roman"/>
        </w:rPr>
        <w:t xml:space="preserve">, N. (2025). Active remote monitoring of long-term conditions with mobile devices: A systematic review of cost-effectiveness analyses. </w:t>
      </w:r>
      <w:proofErr w:type="spellStart"/>
      <w:r w:rsidRPr="00884F64">
        <w:rPr>
          <w:rFonts w:ascii="Times New Roman" w:hAnsi="Times New Roman" w:cs="Times New Roman"/>
          <w:i/>
          <w:iCs/>
        </w:rPr>
        <w:t>npj</w:t>
      </w:r>
      <w:proofErr w:type="spellEnd"/>
      <w:r w:rsidRPr="00884F64">
        <w:rPr>
          <w:rFonts w:ascii="Times New Roman" w:hAnsi="Times New Roman" w:cs="Times New Roman"/>
          <w:i/>
          <w:iCs/>
        </w:rPr>
        <w:t xml:space="preserve"> Digital Medicine, 8</w:t>
      </w:r>
      <w:r w:rsidRPr="00884F64">
        <w:rPr>
          <w:rFonts w:ascii="Times New Roman" w:hAnsi="Times New Roman" w:cs="Times New Roman"/>
        </w:rPr>
        <w:t xml:space="preserve">, 625. DOI: 10.1038/s41746-025-01898-3. </w:t>
      </w:r>
      <w:hyperlink r:id="rId29" w:history="1">
        <w:r>
          <w:rPr>
            <w:rStyle w:val="Hyperlink"/>
            <w:rFonts w:ascii="Times New Roman" w:hAnsi="Times New Roman" w:cs="Times New Roman"/>
          </w:rPr>
          <w:t xml:space="preserve">  </w:t>
        </w:r>
      </w:hyperlink>
    </w:p>
    <w:p w14:paraId="5F4B70C8" w14:textId="77777777" w:rsidR="00884F64" w:rsidRPr="00884F64" w:rsidRDefault="00884F64" w:rsidP="00884F64">
      <w:pPr>
        <w:numPr>
          <w:ilvl w:val="0"/>
          <w:numId w:val="20"/>
        </w:numPr>
        <w:rPr>
          <w:rFonts w:ascii="Times New Roman" w:hAnsi="Times New Roman" w:cs="Times New Roman"/>
        </w:rPr>
      </w:pPr>
      <w:r w:rsidRPr="00884F64">
        <w:rPr>
          <w:rFonts w:ascii="Times New Roman" w:hAnsi="Times New Roman" w:cs="Times New Roman"/>
        </w:rPr>
        <w:t xml:space="preserve">Heilig, A. L., van den Hout, W. B., &amp; van den Akker-van Marle, M. E. (2026). Identifying and comparing intervention cost components in remote patient monitoring: A scoping review. </w:t>
      </w:r>
      <w:proofErr w:type="spellStart"/>
      <w:r w:rsidRPr="00884F64">
        <w:rPr>
          <w:rFonts w:ascii="Times New Roman" w:hAnsi="Times New Roman" w:cs="Times New Roman"/>
          <w:i/>
          <w:iCs/>
        </w:rPr>
        <w:t>PharmacoEconomics</w:t>
      </w:r>
      <w:proofErr w:type="spellEnd"/>
      <w:r w:rsidRPr="00884F64">
        <w:rPr>
          <w:rFonts w:ascii="Times New Roman" w:hAnsi="Times New Roman" w:cs="Times New Roman"/>
          <w:i/>
          <w:iCs/>
        </w:rPr>
        <w:t>, 44</w:t>
      </w:r>
      <w:r w:rsidRPr="00884F64">
        <w:rPr>
          <w:rFonts w:ascii="Times New Roman" w:hAnsi="Times New Roman" w:cs="Times New Roman"/>
        </w:rPr>
        <w:t xml:space="preserve">, 1003–1018. DOI: 10.1007/s40273-026-01620-5. </w:t>
      </w:r>
      <w:hyperlink r:id="rId30" w:history="1">
        <w:r w:rsidRPr="00884F64">
          <w:rPr>
            <w:rStyle w:val="Hyperlink"/>
            <w:rFonts w:ascii="Times New Roman" w:hAnsi="Times New Roman" w:cs="Times New Roman"/>
          </w:rPr>
          <w:t>DOI</w:t>
        </w:r>
      </w:hyperlink>
    </w:p>
    <w:p w14:paraId="6C3280D8" w14:textId="77777777" w:rsidR="00884F64" w:rsidRPr="00884F64" w:rsidRDefault="00884F64" w:rsidP="00884F64">
      <w:pPr>
        <w:numPr>
          <w:ilvl w:val="0"/>
          <w:numId w:val="20"/>
        </w:numPr>
        <w:rPr>
          <w:rFonts w:ascii="Times New Roman" w:hAnsi="Times New Roman" w:cs="Times New Roman"/>
        </w:rPr>
      </w:pPr>
      <w:r w:rsidRPr="00884F64">
        <w:rPr>
          <w:rFonts w:ascii="Times New Roman" w:hAnsi="Times New Roman" w:cs="Times New Roman"/>
        </w:rPr>
        <w:t xml:space="preserve">Peretz, D., Arnaert, A., &amp; </w:t>
      </w:r>
      <w:proofErr w:type="spellStart"/>
      <w:r w:rsidRPr="00884F64">
        <w:rPr>
          <w:rFonts w:ascii="Times New Roman" w:hAnsi="Times New Roman" w:cs="Times New Roman"/>
        </w:rPr>
        <w:t>Ponzoni</w:t>
      </w:r>
      <w:proofErr w:type="spellEnd"/>
      <w:r w:rsidRPr="00884F64">
        <w:rPr>
          <w:rFonts w:ascii="Times New Roman" w:hAnsi="Times New Roman" w:cs="Times New Roman"/>
        </w:rPr>
        <w:t xml:space="preserve">, N. N. (2018). Determining the cost of implementing and operating a remote patient monitoring programme for the elderly with chronic conditions: A systematic review of economic evaluations. </w:t>
      </w:r>
      <w:r w:rsidRPr="00884F64">
        <w:rPr>
          <w:rFonts w:ascii="Times New Roman" w:hAnsi="Times New Roman" w:cs="Times New Roman"/>
          <w:i/>
          <w:iCs/>
        </w:rPr>
        <w:t>Journal of Telemedicine and Telecare, 24</w:t>
      </w:r>
      <w:r w:rsidRPr="00884F64">
        <w:rPr>
          <w:rFonts w:ascii="Times New Roman" w:hAnsi="Times New Roman" w:cs="Times New Roman"/>
        </w:rPr>
        <w:t xml:space="preserve">(1). DOI: 10.1177/1357633X16669239. </w:t>
      </w:r>
      <w:hyperlink r:id="rId31" w:history="1">
        <w:r w:rsidRPr="00884F64">
          <w:rPr>
            <w:rStyle w:val="Hyperlink"/>
            <w:rFonts w:ascii="Times New Roman" w:hAnsi="Times New Roman" w:cs="Times New Roman"/>
          </w:rPr>
          <w:t>Sage Journals</w:t>
        </w:r>
      </w:hyperlink>
    </w:p>
    <w:p w14:paraId="6885D6A7" w14:textId="77777777" w:rsidR="00884F64" w:rsidRPr="00884F64" w:rsidRDefault="00884F64" w:rsidP="00884F64">
      <w:pPr>
        <w:numPr>
          <w:ilvl w:val="0"/>
          <w:numId w:val="20"/>
        </w:numPr>
        <w:rPr>
          <w:rFonts w:ascii="Times New Roman" w:hAnsi="Times New Roman" w:cs="Times New Roman"/>
        </w:rPr>
      </w:pPr>
      <w:r w:rsidRPr="00884F64">
        <w:rPr>
          <w:rFonts w:ascii="Times New Roman" w:hAnsi="Times New Roman" w:cs="Times New Roman"/>
        </w:rPr>
        <w:lastRenderedPageBreak/>
        <w:t xml:space="preserve">Totten, A. M., Womack, D. M., Eden, K. B., et al. (2016). Telehealth: Mapping the evidence for patient outcomes from systematic reviews. </w:t>
      </w:r>
      <w:r w:rsidRPr="00884F64">
        <w:rPr>
          <w:rFonts w:ascii="Times New Roman" w:hAnsi="Times New Roman" w:cs="Times New Roman"/>
          <w:i/>
          <w:iCs/>
        </w:rPr>
        <w:t>AHRQ Comparative Effectiveness Technical Briefs</w:t>
      </w:r>
      <w:r w:rsidRPr="00884F64">
        <w:rPr>
          <w:rFonts w:ascii="Times New Roman" w:hAnsi="Times New Roman" w:cs="Times New Roman"/>
        </w:rPr>
        <w:t>.</w:t>
      </w:r>
    </w:p>
    <w:p w14:paraId="7188ABFE" w14:textId="77777777" w:rsidR="00884F64" w:rsidRPr="00884F64" w:rsidRDefault="00884F64" w:rsidP="00884F64">
      <w:pPr>
        <w:numPr>
          <w:ilvl w:val="0"/>
          <w:numId w:val="20"/>
        </w:numPr>
        <w:rPr>
          <w:rFonts w:ascii="Times New Roman" w:hAnsi="Times New Roman" w:cs="Times New Roman"/>
        </w:rPr>
      </w:pPr>
      <w:r w:rsidRPr="00884F64">
        <w:rPr>
          <w:rFonts w:ascii="Times New Roman" w:hAnsi="Times New Roman" w:cs="Times New Roman"/>
        </w:rPr>
        <w:t xml:space="preserve">Kruse, C. S., Krowski, N., Rodriguez, B., Tran, L., Vela, J., &amp; Brooks, M. (2017). Telehealth and patient satisfaction: A systematic review and narrative analysis. </w:t>
      </w:r>
      <w:r w:rsidRPr="00884F64">
        <w:rPr>
          <w:rFonts w:ascii="Times New Roman" w:hAnsi="Times New Roman" w:cs="Times New Roman"/>
          <w:i/>
          <w:iCs/>
        </w:rPr>
        <w:t>BMJ Open, 7</w:t>
      </w:r>
      <w:r w:rsidRPr="00884F64">
        <w:rPr>
          <w:rFonts w:ascii="Times New Roman" w:hAnsi="Times New Roman" w:cs="Times New Roman"/>
        </w:rPr>
        <w:t>, e016242. DOI: 10.1136/bmjopen-2017-016242.</w:t>
      </w:r>
    </w:p>
    <w:p w14:paraId="233B1B9F" w14:textId="77777777" w:rsidR="00884F64" w:rsidRPr="00884F64" w:rsidRDefault="00884F64" w:rsidP="00884F64">
      <w:pPr>
        <w:numPr>
          <w:ilvl w:val="0"/>
          <w:numId w:val="20"/>
        </w:numPr>
        <w:rPr>
          <w:rFonts w:ascii="Times New Roman" w:hAnsi="Times New Roman" w:cs="Times New Roman"/>
        </w:rPr>
      </w:pPr>
      <w:proofErr w:type="spellStart"/>
      <w:r w:rsidRPr="00884F64">
        <w:rPr>
          <w:rFonts w:ascii="Times New Roman" w:hAnsi="Times New Roman" w:cs="Times New Roman"/>
        </w:rPr>
        <w:t>Snoswell</w:t>
      </w:r>
      <w:proofErr w:type="spellEnd"/>
      <w:r w:rsidRPr="00884F64">
        <w:rPr>
          <w:rFonts w:ascii="Times New Roman" w:hAnsi="Times New Roman" w:cs="Times New Roman"/>
        </w:rPr>
        <w:t xml:space="preserve">, C. L., Chelberg, G., De Guzman, K. R., Haydon, H. H., Thomas, E. E., Caffery, L. J., &amp; Smith, A. C. (2021). The clinical effectiveness of telehealth: A systematic review of meta-analyses from 2010 to 2019. </w:t>
      </w:r>
      <w:r w:rsidRPr="00884F64">
        <w:rPr>
          <w:rFonts w:ascii="Times New Roman" w:hAnsi="Times New Roman" w:cs="Times New Roman"/>
          <w:i/>
          <w:iCs/>
        </w:rPr>
        <w:t>Journal of Telemedicine and Telecare</w:t>
      </w:r>
      <w:r w:rsidRPr="00884F64">
        <w:rPr>
          <w:rFonts w:ascii="Times New Roman" w:hAnsi="Times New Roman" w:cs="Times New Roman"/>
        </w:rPr>
        <w:t>. DOI: 10.1177/1357633X211022907.</w:t>
      </w:r>
    </w:p>
    <w:p w14:paraId="2D9F6F6A" w14:textId="77777777" w:rsidR="00884F64" w:rsidRPr="00884F64" w:rsidRDefault="00884F64" w:rsidP="00884F64">
      <w:pPr>
        <w:numPr>
          <w:ilvl w:val="0"/>
          <w:numId w:val="20"/>
        </w:numPr>
        <w:rPr>
          <w:rFonts w:ascii="Times New Roman" w:hAnsi="Times New Roman" w:cs="Times New Roman"/>
        </w:rPr>
      </w:pPr>
      <w:proofErr w:type="spellStart"/>
      <w:r w:rsidRPr="00884F64">
        <w:rPr>
          <w:rFonts w:ascii="Times New Roman" w:hAnsi="Times New Roman" w:cs="Times New Roman"/>
        </w:rPr>
        <w:t>Gajarawala</w:t>
      </w:r>
      <w:proofErr w:type="spellEnd"/>
      <w:r w:rsidRPr="00884F64">
        <w:rPr>
          <w:rFonts w:ascii="Times New Roman" w:hAnsi="Times New Roman" w:cs="Times New Roman"/>
        </w:rPr>
        <w:t xml:space="preserve">, S. N., &amp; Pelkowski, J. N. (2021). Telehealth benefits and barriers. </w:t>
      </w:r>
      <w:r w:rsidRPr="00884F64">
        <w:rPr>
          <w:rFonts w:ascii="Times New Roman" w:hAnsi="Times New Roman" w:cs="Times New Roman"/>
          <w:i/>
          <w:iCs/>
        </w:rPr>
        <w:t>The Journal for Nurse Practitioners, 17</w:t>
      </w:r>
      <w:r w:rsidRPr="00884F64">
        <w:rPr>
          <w:rFonts w:ascii="Times New Roman" w:hAnsi="Times New Roman" w:cs="Times New Roman"/>
        </w:rPr>
        <w:t>(2), 218–221. DOI: 10.1016/j.nurpra.2020.09.013.</w:t>
      </w:r>
    </w:p>
    <w:p w14:paraId="58820861" w14:textId="77777777" w:rsidR="00884F64" w:rsidRPr="00884F64" w:rsidRDefault="00884F64" w:rsidP="00884F64">
      <w:pPr>
        <w:numPr>
          <w:ilvl w:val="0"/>
          <w:numId w:val="20"/>
        </w:numPr>
        <w:rPr>
          <w:rFonts w:ascii="Times New Roman" w:hAnsi="Times New Roman" w:cs="Times New Roman"/>
        </w:rPr>
      </w:pPr>
      <w:r w:rsidRPr="00884F64">
        <w:rPr>
          <w:rFonts w:ascii="Times New Roman" w:hAnsi="Times New Roman" w:cs="Times New Roman"/>
        </w:rPr>
        <w:t xml:space="preserve">Haleem, A., Javaid, M., Singh, R. P., &amp; Suman, R. (2021). Telemedicine for healthcare: Capabilities, features, barriers, and applications. </w:t>
      </w:r>
      <w:r w:rsidRPr="00884F64">
        <w:rPr>
          <w:rFonts w:ascii="Times New Roman" w:hAnsi="Times New Roman" w:cs="Times New Roman"/>
          <w:i/>
          <w:iCs/>
        </w:rPr>
        <w:t>Sensors International, 2</w:t>
      </w:r>
      <w:r w:rsidRPr="00884F64">
        <w:rPr>
          <w:rFonts w:ascii="Times New Roman" w:hAnsi="Times New Roman" w:cs="Times New Roman"/>
        </w:rPr>
        <w:t>, 100117. DOI: 10.1016/j.sintl.2021.100117.</w:t>
      </w:r>
    </w:p>
    <w:p w14:paraId="0F884709" w14:textId="77777777" w:rsidR="00884F64" w:rsidRPr="00884F64" w:rsidRDefault="00884F64" w:rsidP="00884F64">
      <w:pPr>
        <w:numPr>
          <w:ilvl w:val="0"/>
          <w:numId w:val="20"/>
        </w:numPr>
        <w:rPr>
          <w:rFonts w:ascii="Times New Roman" w:hAnsi="Times New Roman" w:cs="Times New Roman"/>
        </w:rPr>
      </w:pPr>
      <w:proofErr w:type="spellStart"/>
      <w:r w:rsidRPr="00884F64">
        <w:rPr>
          <w:rFonts w:ascii="Times New Roman" w:hAnsi="Times New Roman" w:cs="Times New Roman"/>
        </w:rPr>
        <w:t>Omboni</w:t>
      </w:r>
      <w:proofErr w:type="spellEnd"/>
      <w:r w:rsidRPr="00884F64">
        <w:rPr>
          <w:rFonts w:ascii="Times New Roman" w:hAnsi="Times New Roman" w:cs="Times New Roman"/>
        </w:rPr>
        <w:t xml:space="preserve">, S., McManus, R. J., Bosworth, H. B., et al. (2020). Evidence and recommendations on the use of telemedicine for the management of arterial hypertension. </w:t>
      </w:r>
      <w:r w:rsidRPr="00884F64">
        <w:rPr>
          <w:rFonts w:ascii="Times New Roman" w:hAnsi="Times New Roman" w:cs="Times New Roman"/>
          <w:i/>
          <w:iCs/>
        </w:rPr>
        <w:t>Hypertension, 76</w:t>
      </w:r>
      <w:r w:rsidRPr="00884F64">
        <w:rPr>
          <w:rFonts w:ascii="Times New Roman" w:hAnsi="Times New Roman" w:cs="Times New Roman"/>
        </w:rPr>
        <w:t>(5), 1368–1383. DOI: 10.1161/HYPERTENSIONAHA.120.15873.</w:t>
      </w:r>
    </w:p>
    <w:p w14:paraId="7A19D6EB" w14:textId="77777777" w:rsidR="00884F64" w:rsidRPr="00884F64" w:rsidRDefault="00884F64" w:rsidP="00884F64">
      <w:pPr>
        <w:numPr>
          <w:ilvl w:val="0"/>
          <w:numId w:val="20"/>
        </w:numPr>
        <w:rPr>
          <w:rFonts w:ascii="Times New Roman" w:hAnsi="Times New Roman" w:cs="Times New Roman"/>
        </w:rPr>
      </w:pPr>
      <w:proofErr w:type="spellStart"/>
      <w:r w:rsidRPr="00884F64">
        <w:rPr>
          <w:rFonts w:ascii="Times New Roman" w:hAnsi="Times New Roman" w:cs="Times New Roman"/>
        </w:rPr>
        <w:t>Monaghesh</w:t>
      </w:r>
      <w:proofErr w:type="spellEnd"/>
      <w:r w:rsidRPr="00884F64">
        <w:rPr>
          <w:rFonts w:ascii="Times New Roman" w:hAnsi="Times New Roman" w:cs="Times New Roman"/>
        </w:rPr>
        <w:t xml:space="preserve">, E., &amp; Hajizadeh, A. (2020). The role of telehealth during COVID-19 outbreak: A systematic review based on current evidence. </w:t>
      </w:r>
      <w:r w:rsidRPr="00884F64">
        <w:rPr>
          <w:rFonts w:ascii="Times New Roman" w:hAnsi="Times New Roman" w:cs="Times New Roman"/>
          <w:i/>
          <w:iCs/>
        </w:rPr>
        <w:t>BMC Public Health, 20</w:t>
      </w:r>
      <w:r w:rsidRPr="00884F64">
        <w:rPr>
          <w:rFonts w:ascii="Times New Roman" w:hAnsi="Times New Roman" w:cs="Times New Roman"/>
        </w:rPr>
        <w:t>, 1193. DOI: 10.1186/s12889-020-09301-4.</w:t>
      </w:r>
    </w:p>
    <w:p w14:paraId="4C56ED7B"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pict w14:anchorId="54FFEBA3">
          <v:rect id="_x0000_i1631" style="width:0;height:1.5pt" o:hralign="center" o:hrstd="t" o:hr="t" fillcolor="#a0a0a0" stroked="f"/>
        </w:pict>
      </w:r>
    </w:p>
    <w:p w14:paraId="3DE1681E"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Appendix A – Proposed Digital-Care Workflow</w:t>
      </w:r>
    </w:p>
    <w:p w14:paraId="0B6417F9"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Patient Enrolment</w:t>
      </w:r>
    </w:p>
    <w:p w14:paraId="19F87377"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6B72650F"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Digital Literacy &amp; Device Assessment</w:t>
      </w:r>
    </w:p>
    <w:p w14:paraId="1E9BDF92"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5CDCA5E6"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Consent + Device Setup</w:t>
      </w:r>
    </w:p>
    <w:p w14:paraId="17D55BCC"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6F2F6285"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Home Monitoring</w:t>
      </w:r>
    </w:p>
    <w:p w14:paraId="07E3781D"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3C83A450"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Automatic Data Transmission</w:t>
      </w:r>
    </w:p>
    <w:p w14:paraId="2143583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lastRenderedPageBreak/>
        <w:t>↓</w:t>
      </w:r>
    </w:p>
    <w:p w14:paraId="2F9D31CB"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Risk Classification</w:t>
      </w:r>
    </w:p>
    <w:p w14:paraId="3C8C0878" w14:textId="77777777" w:rsidR="00884F64" w:rsidRPr="00884F64" w:rsidRDefault="00884F64" w:rsidP="00884F64">
      <w:pPr>
        <w:rPr>
          <w:rFonts w:ascii="Times New Roman" w:hAnsi="Times New Roman" w:cs="Times New Roman"/>
        </w:rPr>
      </w:pPr>
      <w:r w:rsidRPr="00884F64">
        <w:rPr>
          <w:rFonts w:ascii="Cambria Math" w:hAnsi="Cambria Math" w:cs="Cambria Math"/>
        </w:rPr>
        <w:t>↙</w:t>
      </w:r>
      <w:r w:rsidRPr="00884F64">
        <w:rPr>
          <w:rFonts w:ascii="Times New Roman" w:hAnsi="Times New Roman" w:cs="Times New Roman"/>
        </w:rPr>
        <w:t xml:space="preserve"> </w:t>
      </w:r>
      <w:r w:rsidRPr="00884F64">
        <w:rPr>
          <w:rFonts w:ascii="Times New Roman" w:hAnsi="Times New Roman" w:cs="Times New Roman"/>
          <w:b/>
          <w:bCs/>
        </w:rPr>
        <w:t>Green</w:t>
      </w:r>
      <w:r w:rsidRPr="00884F64">
        <w:rPr>
          <w:rFonts w:ascii="Times New Roman" w:hAnsi="Times New Roman" w:cs="Times New Roman"/>
        </w:rPr>
        <w:t xml:space="preserve"> → Routine monitoring</w:t>
      </w:r>
      <w:r w:rsidRPr="00884F64">
        <w:rPr>
          <w:rFonts w:ascii="Times New Roman" w:hAnsi="Times New Roman" w:cs="Times New Roman"/>
        </w:rPr>
        <w:br/>
        <w:t xml:space="preserve">↓ </w:t>
      </w:r>
      <w:r w:rsidRPr="00884F64">
        <w:rPr>
          <w:rFonts w:ascii="Times New Roman" w:hAnsi="Times New Roman" w:cs="Times New Roman"/>
          <w:b/>
          <w:bCs/>
        </w:rPr>
        <w:t>Amber</w:t>
      </w:r>
      <w:r w:rsidRPr="00884F64">
        <w:rPr>
          <w:rFonts w:ascii="Times New Roman" w:hAnsi="Times New Roman" w:cs="Times New Roman"/>
        </w:rPr>
        <w:t xml:space="preserve"> → Nurse review</w:t>
      </w:r>
      <w:r w:rsidRPr="00884F64">
        <w:rPr>
          <w:rFonts w:ascii="Times New Roman" w:hAnsi="Times New Roman" w:cs="Times New Roman"/>
        </w:rPr>
        <w:br/>
      </w:r>
      <w:r w:rsidRPr="00884F64">
        <w:rPr>
          <w:rFonts w:ascii="Cambria Math" w:hAnsi="Cambria Math" w:cs="Cambria Math"/>
        </w:rPr>
        <w:t>↘</w:t>
      </w:r>
      <w:r w:rsidRPr="00884F64">
        <w:rPr>
          <w:rFonts w:ascii="Times New Roman" w:hAnsi="Times New Roman" w:cs="Times New Roman"/>
        </w:rPr>
        <w:t xml:space="preserve"> </w:t>
      </w:r>
      <w:r w:rsidRPr="00884F64">
        <w:rPr>
          <w:rFonts w:ascii="Times New Roman" w:hAnsi="Times New Roman" w:cs="Times New Roman"/>
          <w:b/>
          <w:bCs/>
        </w:rPr>
        <w:t>Red</w:t>
      </w:r>
      <w:r w:rsidRPr="00884F64">
        <w:rPr>
          <w:rFonts w:ascii="Times New Roman" w:hAnsi="Times New Roman" w:cs="Times New Roman"/>
        </w:rPr>
        <w:t xml:space="preserve"> → Physician/emergency escalation</w:t>
      </w:r>
    </w:p>
    <w:p w14:paraId="632DC79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6E500B68"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Clinical Intervention</w:t>
      </w:r>
    </w:p>
    <w:p w14:paraId="0FD27D29"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1918426C"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EHR Documentation</w:t>
      </w:r>
    </w:p>
    <w:p w14:paraId="52B8E95F"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t>↓</w:t>
      </w:r>
    </w:p>
    <w:p w14:paraId="1ADDCDF0" w14:textId="77777777" w:rsidR="00884F64" w:rsidRPr="00884F64" w:rsidRDefault="00884F64" w:rsidP="00884F64">
      <w:pPr>
        <w:rPr>
          <w:rFonts w:ascii="Times New Roman" w:hAnsi="Times New Roman" w:cs="Times New Roman"/>
        </w:rPr>
      </w:pPr>
      <w:r w:rsidRPr="00884F64">
        <w:rPr>
          <w:rFonts w:ascii="Times New Roman" w:hAnsi="Times New Roman" w:cs="Times New Roman"/>
          <w:b/>
          <w:bCs/>
        </w:rPr>
        <w:t>Outcome Monitoring</w:t>
      </w:r>
    </w:p>
    <w:p w14:paraId="4A321D4B" w14:textId="77777777" w:rsidR="00884F64" w:rsidRPr="00884F64" w:rsidRDefault="00884F64" w:rsidP="00884F64">
      <w:pPr>
        <w:rPr>
          <w:rFonts w:ascii="Times New Roman" w:hAnsi="Times New Roman" w:cs="Times New Roman"/>
        </w:rPr>
      </w:pPr>
      <w:r w:rsidRPr="00884F64">
        <w:rPr>
          <w:rFonts w:ascii="Times New Roman" w:hAnsi="Times New Roman" w:cs="Times New Roman"/>
        </w:rPr>
        <w:pict w14:anchorId="78FFA779">
          <v:rect id="_x0000_i1632" style="width:0;height:1.5pt" o:hralign="center" o:hrstd="t" o:hr="t" fillcolor="#a0a0a0" stroked="f"/>
        </w:pict>
      </w:r>
    </w:p>
    <w:p w14:paraId="7F9AAD6B" w14:textId="77777777" w:rsidR="00884F64" w:rsidRPr="00884F64" w:rsidRDefault="00884F64" w:rsidP="00884F64">
      <w:pPr>
        <w:rPr>
          <w:rFonts w:ascii="Times New Roman" w:hAnsi="Times New Roman" w:cs="Times New Roman"/>
          <w:b/>
          <w:bCs/>
        </w:rPr>
      </w:pPr>
      <w:r w:rsidRPr="00884F64">
        <w:rPr>
          <w:rFonts w:ascii="Times New Roman" w:hAnsi="Times New Roman" w:cs="Times New Roman"/>
          <w:b/>
          <w:bCs/>
        </w:rPr>
        <w:t>Appendix B – Implementation Risk Register</w:t>
      </w:r>
    </w:p>
    <w:tbl>
      <w:tblPr>
        <w:tblStyle w:val="TableGrid"/>
        <w:tblW w:w="0" w:type="auto"/>
        <w:tblLook w:val="04A0" w:firstRow="1" w:lastRow="0" w:firstColumn="1" w:lastColumn="0" w:noHBand="0" w:noVBand="1"/>
      </w:tblPr>
      <w:tblGrid>
        <w:gridCol w:w="2976"/>
        <w:gridCol w:w="1372"/>
        <w:gridCol w:w="1030"/>
        <w:gridCol w:w="3829"/>
      </w:tblGrid>
      <w:tr w:rsidR="00884F64" w:rsidRPr="00884F64" w14:paraId="3767409C" w14:textId="77777777" w:rsidTr="005175EA">
        <w:tc>
          <w:tcPr>
            <w:tcW w:w="0" w:type="auto"/>
            <w:hideMark/>
          </w:tcPr>
          <w:p w14:paraId="6BFBE6A4"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Risk</w:t>
            </w:r>
          </w:p>
        </w:tc>
        <w:tc>
          <w:tcPr>
            <w:tcW w:w="0" w:type="auto"/>
            <w:hideMark/>
          </w:tcPr>
          <w:p w14:paraId="39CC1CB0"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Probability</w:t>
            </w:r>
          </w:p>
        </w:tc>
        <w:tc>
          <w:tcPr>
            <w:tcW w:w="0" w:type="auto"/>
            <w:hideMark/>
          </w:tcPr>
          <w:p w14:paraId="66755032"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Impact</w:t>
            </w:r>
          </w:p>
        </w:tc>
        <w:tc>
          <w:tcPr>
            <w:tcW w:w="0" w:type="auto"/>
            <w:hideMark/>
          </w:tcPr>
          <w:p w14:paraId="3D927A36" w14:textId="77777777" w:rsidR="00884F64" w:rsidRPr="00884F64" w:rsidRDefault="00884F64" w:rsidP="00884F64">
            <w:pPr>
              <w:spacing w:after="160" w:line="278" w:lineRule="auto"/>
              <w:rPr>
                <w:rFonts w:ascii="Times New Roman" w:hAnsi="Times New Roman" w:cs="Times New Roman"/>
                <w:b/>
                <w:bCs/>
              </w:rPr>
            </w:pPr>
            <w:r w:rsidRPr="00884F64">
              <w:rPr>
                <w:rFonts w:ascii="Times New Roman" w:hAnsi="Times New Roman" w:cs="Times New Roman"/>
                <w:b/>
                <w:bCs/>
              </w:rPr>
              <w:t>Mitigation</w:t>
            </w:r>
          </w:p>
        </w:tc>
      </w:tr>
      <w:tr w:rsidR="00884F64" w:rsidRPr="00884F64" w14:paraId="4CD765E0" w14:textId="77777777" w:rsidTr="005175EA">
        <w:tc>
          <w:tcPr>
            <w:tcW w:w="0" w:type="auto"/>
            <w:hideMark/>
          </w:tcPr>
          <w:p w14:paraId="0F267618"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Clinician resistance</w:t>
            </w:r>
          </w:p>
        </w:tc>
        <w:tc>
          <w:tcPr>
            <w:tcW w:w="0" w:type="auto"/>
            <w:hideMark/>
          </w:tcPr>
          <w:p w14:paraId="518D2CE4"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30000D2E"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0D067C33"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Co-design and training</w:t>
            </w:r>
          </w:p>
        </w:tc>
      </w:tr>
      <w:tr w:rsidR="00884F64" w:rsidRPr="00884F64" w14:paraId="566BA25F" w14:textId="77777777" w:rsidTr="005175EA">
        <w:tc>
          <w:tcPr>
            <w:tcW w:w="0" w:type="auto"/>
            <w:hideMark/>
          </w:tcPr>
          <w:p w14:paraId="7E6C28CC"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Digital exclusion</w:t>
            </w:r>
          </w:p>
        </w:tc>
        <w:tc>
          <w:tcPr>
            <w:tcW w:w="0" w:type="auto"/>
            <w:hideMark/>
          </w:tcPr>
          <w:p w14:paraId="166625EE"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67C9CCD6"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43C4227B"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Device loans and assisted onboarding</w:t>
            </w:r>
          </w:p>
        </w:tc>
      </w:tr>
      <w:tr w:rsidR="00884F64" w:rsidRPr="00884F64" w14:paraId="44E9B723" w14:textId="77777777" w:rsidTr="005175EA">
        <w:tc>
          <w:tcPr>
            <w:tcW w:w="0" w:type="auto"/>
            <w:hideMark/>
          </w:tcPr>
          <w:p w14:paraId="7A41009B"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Alert fatigue</w:t>
            </w:r>
          </w:p>
        </w:tc>
        <w:tc>
          <w:tcPr>
            <w:tcW w:w="0" w:type="auto"/>
            <w:hideMark/>
          </w:tcPr>
          <w:p w14:paraId="2AC1424E"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531977E3"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1319193B"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Personalised thresholds</w:t>
            </w:r>
          </w:p>
        </w:tc>
      </w:tr>
      <w:tr w:rsidR="00884F64" w:rsidRPr="00884F64" w14:paraId="404720C9" w14:textId="77777777" w:rsidTr="005175EA">
        <w:tc>
          <w:tcPr>
            <w:tcW w:w="0" w:type="auto"/>
            <w:hideMark/>
          </w:tcPr>
          <w:p w14:paraId="55239739"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Device failure</w:t>
            </w:r>
          </w:p>
        </w:tc>
        <w:tc>
          <w:tcPr>
            <w:tcW w:w="0" w:type="auto"/>
            <w:hideMark/>
          </w:tcPr>
          <w:p w14:paraId="516D59EC"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Medium</w:t>
            </w:r>
          </w:p>
        </w:tc>
        <w:tc>
          <w:tcPr>
            <w:tcW w:w="0" w:type="auto"/>
            <w:hideMark/>
          </w:tcPr>
          <w:p w14:paraId="6B1F8202"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32CB674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Technical support/replacement</w:t>
            </w:r>
          </w:p>
        </w:tc>
      </w:tr>
      <w:tr w:rsidR="00884F64" w:rsidRPr="00884F64" w14:paraId="252C1737" w14:textId="77777777" w:rsidTr="005175EA">
        <w:tc>
          <w:tcPr>
            <w:tcW w:w="0" w:type="auto"/>
            <w:hideMark/>
          </w:tcPr>
          <w:p w14:paraId="03C185C1"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Poor adherence</w:t>
            </w:r>
          </w:p>
        </w:tc>
        <w:tc>
          <w:tcPr>
            <w:tcW w:w="0" w:type="auto"/>
            <w:hideMark/>
          </w:tcPr>
          <w:p w14:paraId="32350293"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Medium</w:t>
            </w:r>
          </w:p>
        </w:tc>
        <w:tc>
          <w:tcPr>
            <w:tcW w:w="0" w:type="auto"/>
            <w:hideMark/>
          </w:tcPr>
          <w:p w14:paraId="36B0837D"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2CB13431"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Patient education/reminders</w:t>
            </w:r>
          </w:p>
        </w:tc>
      </w:tr>
      <w:tr w:rsidR="00884F64" w:rsidRPr="00884F64" w14:paraId="70EECABC" w14:textId="77777777" w:rsidTr="005175EA">
        <w:tc>
          <w:tcPr>
            <w:tcW w:w="0" w:type="auto"/>
            <w:hideMark/>
          </w:tcPr>
          <w:p w14:paraId="27836389"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Data breach</w:t>
            </w:r>
          </w:p>
        </w:tc>
        <w:tc>
          <w:tcPr>
            <w:tcW w:w="0" w:type="auto"/>
            <w:hideMark/>
          </w:tcPr>
          <w:p w14:paraId="768E4E57"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Medium</w:t>
            </w:r>
          </w:p>
        </w:tc>
        <w:tc>
          <w:tcPr>
            <w:tcW w:w="0" w:type="auto"/>
            <w:hideMark/>
          </w:tcPr>
          <w:p w14:paraId="4C605C10"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Critical</w:t>
            </w:r>
          </w:p>
        </w:tc>
        <w:tc>
          <w:tcPr>
            <w:tcW w:w="0" w:type="auto"/>
            <w:hideMark/>
          </w:tcPr>
          <w:p w14:paraId="27B8A06A"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Encryption, MFA, RBAC</w:t>
            </w:r>
          </w:p>
        </w:tc>
      </w:tr>
      <w:tr w:rsidR="00884F64" w:rsidRPr="00884F64" w14:paraId="3F3A3497" w14:textId="77777777" w:rsidTr="005175EA">
        <w:tc>
          <w:tcPr>
            <w:tcW w:w="0" w:type="auto"/>
            <w:hideMark/>
          </w:tcPr>
          <w:p w14:paraId="13E49266"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EHR integration failure</w:t>
            </w:r>
          </w:p>
        </w:tc>
        <w:tc>
          <w:tcPr>
            <w:tcW w:w="0" w:type="auto"/>
            <w:hideMark/>
          </w:tcPr>
          <w:p w14:paraId="42D10F86"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Medium</w:t>
            </w:r>
          </w:p>
        </w:tc>
        <w:tc>
          <w:tcPr>
            <w:tcW w:w="0" w:type="auto"/>
            <w:hideMark/>
          </w:tcPr>
          <w:p w14:paraId="694D518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563EB889"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Standards-based APIs</w:t>
            </w:r>
          </w:p>
        </w:tc>
      </w:tr>
      <w:tr w:rsidR="00884F64" w:rsidRPr="00884F64" w14:paraId="79D657B1" w14:textId="77777777" w:rsidTr="005175EA">
        <w:tc>
          <w:tcPr>
            <w:tcW w:w="0" w:type="auto"/>
            <w:hideMark/>
          </w:tcPr>
          <w:p w14:paraId="37005002"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Excess monitoring workload</w:t>
            </w:r>
          </w:p>
        </w:tc>
        <w:tc>
          <w:tcPr>
            <w:tcW w:w="0" w:type="auto"/>
            <w:hideMark/>
          </w:tcPr>
          <w:p w14:paraId="220A3DB0"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7DED3E0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1172BD56"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Tiered task shifting</w:t>
            </w:r>
          </w:p>
        </w:tc>
      </w:tr>
      <w:tr w:rsidR="00884F64" w:rsidRPr="00884F64" w14:paraId="0CFC54D2" w14:textId="77777777" w:rsidTr="005175EA">
        <w:tc>
          <w:tcPr>
            <w:tcW w:w="0" w:type="auto"/>
            <w:hideMark/>
          </w:tcPr>
          <w:p w14:paraId="2EEF1E22"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Financial overrun</w:t>
            </w:r>
          </w:p>
        </w:tc>
        <w:tc>
          <w:tcPr>
            <w:tcW w:w="0" w:type="auto"/>
            <w:hideMark/>
          </w:tcPr>
          <w:p w14:paraId="2663C982"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Medium</w:t>
            </w:r>
          </w:p>
        </w:tc>
        <w:tc>
          <w:tcPr>
            <w:tcW w:w="0" w:type="auto"/>
            <w:hideMark/>
          </w:tcPr>
          <w:p w14:paraId="5D363AD2"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047B65C8"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Pilot before scaling</w:t>
            </w:r>
          </w:p>
        </w:tc>
      </w:tr>
      <w:tr w:rsidR="00884F64" w:rsidRPr="00884F64" w14:paraId="422822DE" w14:textId="77777777" w:rsidTr="005175EA">
        <w:tc>
          <w:tcPr>
            <w:tcW w:w="0" w:type="auto"/>
            <w:hideMark/>
          </w:tcPr>
          <w:p w14:paraId="474EA161"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Incorrect measurements</w:t>
            </w:r>
          </w:p>
        </w:tc>
        <w:tc>
          <w:tcPr>
            <w:tcW w:w="0" w:type="auto"/>
            <w:hideMark/>
          </w:tcPr>
          <w:p w14:paraId="2E91DCB5"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Medium</w:t>
            </w:r>
          </w:p>
        </w:tc>
        <w:tc>
          <w:tcPr>
            <w:tcW w:w="0" w:type="auto"/>
            <w:hideMark/>
          </w:tcPr>
          <w:p w14:paraId="2CCCD6C2"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4957A37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Validated devices and training</w:t>
            </w:r>
          </w:p>
        </w:tc>
      </w:tr>
      <w:tr w:rsidR="00884F64" w:rsidRPr="00884F64" w14:paraId="57792C2D" w14:textId="77777777" w:rsidTr="005175EA">
        <w:tc>
          <w:tcPr>
            <w:tcW w:w="0" w:type="auto"/>
            <w:hideMark/>
          </w:tcPr>
          <w:p w14:paraId="18CE6F6D"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Connectivity failure</w:t>
            </w:r>
          </w:p>
        </w:tc>
        <w:tc>
          <w:tcPr>
            <w:tcW w:w="0" w:type="auto"/>
            <w:hideMark/>
          </w:tcPr>
          <w:p w14:paraId="429554BB"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Medium</w:t>
            </w:r>
          </w:p>
        </w:tc>
        <w:tc>
          <w:tcPr>
            <w:tcW w:w="0" w:type="auto"/>
            <w:hideMark/>
          </w:tcPr>
          <w:p w14:paraId="75E0633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Medium</w:t>
            </w:r>
          </w:p>
        </w:tc>
        <w:tc>
          <w:tcPr>
            <w:tcW w:w="0" w:type="auto"/>
            <w:hideMark/>
          </w:tcPr>
          <w:p w14:paraId="3C4C5582"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Offline/fallback pathway</w:t>
            </w:r>
          </w:p>
        </w:tc>
      </w:tr>
      <w:tr w:rsidR="00884F64" w:rsidRPr="00884F64" w14:paraId="181AFF18" w14:textId="77777777" w:rsidTr="005175EA">
        <w:tc>
          <w:tcPr>
            <w:tcW w:w="0" w:type="auto"/>
            <w:hideMark/>
          </w:tcPr>
          <w:p w14:paraId="5EA08CEB"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Ineffective programme</w:t>
            </w:r>
          </w:p>
        </w:tc>
        <w:tc>
          <w:tcPr>
            <w:tcW w:w="0" w:type="auto"/>
            <w:hideMark/>
          </w:tcPr>
          <w:p w14:paraId="504AF3A7"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Medium</w:t>
            </w:r>
          </w:p>
        </w:tc>
        <w:tc>
          <w:tcPr>
            <w:tcW w:w="0" w:type="auto"/>
            <w:hideMark/>
          </w:tcPr>
          <w:p w14:paraId="6672372A"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High</w:t>
            </w:r>
          </w:p>
        </w:tc>
        <w:tc>
          <w:tcPr>
            <w:tcW w:w="0" w:type="auto"/>
            <w:hideMark/>
          </w:tcPr>
          <w:p w14:paraId="46BB3CDF" w14:textId="77777777" w:rsidR="00884F64" w:rsidRPr="00884F64" w:rsidRDefault="00884F64" w:rsidP="00884F64">
            <w:pPr>
              <w:spacing w:after="160" w:line="278" w:lineRule="auto"/>
              <w:rPr>
                <w:rFonts w:ascii="Times New Roman" w:hAnsi="Times New Roman" w:cs="Times New Roman"/>
              </w:rPr>
            </w:pPr>
            <w:r w:rsidRPr="00884F64">
              <w:rPr>
                <w:rFonts w:ascii="Times New Roman" w:hAnsi="Times New Roman" w:cs="Times New Roman"/>
              </w:rPr>
              <w:t>KPI-based stop/scale criteria</w:t>
            </w:r>
          </w:p>
        </w:tc>
      </w:tr>
    </w:tbl>
    <w:p w14:paraId="5E9677CD" w14:textId="77777777" w:rsidR="005175EA" w:rsidRDefault="005175EA" w:rsidP="00884F64">
      <w:pPr>
        <w:rPr>
          <w:rFonts w:ascii="Times New Roman" w:hAnsi="Times New Roman" w:cs="Times New Roman"/>
          <w:b/>
          <w:bCs/>
        </w:rPr>
      </w:pPr>
    </w:p>
    <w:p w14:paraId="5EB90B84" w14:textId="217D4A42" w:rsidR="00884F64" w:rsidRPr="00884F64" w:rsidRDefault="00884F64" w:rsidP="00884F64">
      <w:pPr>
        <w:rPr>
          <w:rFonts w:ascii="Times New Roman" w:hAnsi="Times New Roman" w:cs="Times New Roman"/>
          <w:b/>
          <w:bCs/>
        </w:rPr>
      </w:pPr>
      <w:r w:rsidRPr="00884F64">
        <w:rPr>
          <w:rFonts w:ascii="Times New Roman" w:hAnsi="Times New Roman" w:cs="Times New Roman"/>
          <w:b/>
          <w:bCs/>
        </w:rPr>
        <w:lastRenderedPageBreak/>
        <w:t>Appendix C – Core Cost Model</w:t>
      </w:r>
    </w:p>
    <w:p w14:paraId="01E69FCE" w14:textId="7202A1D1" w:rsidR="00884F64" w:rsidRPr="00884F64" w:rsidRDefault="005175EA" w:rsidP="00884F64">
      <w:pPr>
        <w:rPr>
          <w:rFonts w:ascii="Times New Roman" w:hAnsi="Times New Roman" w:cs="Times New Roman"/>
        </w:rPr>
      </w:pPr>
      <w:r w:rsidRPr="005175EA">
        <w:rPr>
          <w:rFonts w:ascii="Times New Roman" w:hAnsi="Times New Roman" w:cs="Times New Roman"/>
        </w:rPr>
        <w:drawing>
          <wp:inline distT="0" distB="0" distL="0" distR="0" wp14:anchorId="6A06C9BB" wp14:editId="5911F8A9">
            <wp:extent cx="5943600" cy="1139190"/>
            <wp:effectExtent l="0" t="0" r="0" b="3810"/>
            <wp:docPr id="1735078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078035" name=""/>
                    <pic:cNvPicPr/>
                  </pic:nvPicPr>
                  <pic:blipFill>
                    <a:blip r:embed="rId32"/>
                    <a:stretch>
                      <a:fillRect/>
                    </a:stretch>
                  </pic:blipFill>
                  <pic:spPr>
                    <a:xfrm>
                      <a:off x="0" y="0"/>
                      <a:ext cx="5943600" cy="1139190"/>
                    </a:xfrm>
                    <a:prstGeom prst="rect">
                      <a:avLst/>
                    </a:prstGeom>
                  </pic:spPr>
                </pic:pic>
              </a:graphicData>
            </a:graphic>
          </wp:inline>
        </w:drawing>
      </w:r>
      <w:r w:rsidR="00884F64" w:rsidRPr="00884F64">
        <w:rPr>
          <w:rFonts w:ascii="Times New Roman" w:hAnsi="Times New Roman" w:cs="Times New Roman"/>
        </w:rPr>
        <w:t>This cost model should be populated with the hospital's actual staffing, technology and utilisation data before investment approval.</w:t>
      </w:r>
    </w:p>
    <w:p w14:paraId="298BC5B0" w14:textId="77777777" w:rsidR="00884F64" w:rsidRPr="00884F64" w:rsidRDefault="00884F64" w:rsidP="00884F64">
      <w:pPr>
        <w:rPr>
          <w:rFonts w:ascii="Times New Roman" w:hAnsi="Times New Roman" w:cs="Times New Roman"/>
        </w:rPr>
      </w:pPr>
    </w:p>
    <w:p w14:paraId="725BA845" w14:textId="77777777" w:rsidR="00884F64" w:rsidRPr="00884F64" w:rsidRDefault="00884F64" w:rsidP="00884F64">
      <w:pPr>
        <w:jc w:val="center"/>
        <w:rPr>
          <w:rFonts w:ascii="Times New Roman" w:hAnsi="Times New Roman" w:cs="Times New Roman"/>
        </w:rPr>
      </w:pPr>
    </w:p>
    <w:sectPr w:rsidR="00884F64" w:rsidRPr="00884F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B0956"/>
    <w:multiLevelType w:val="multilevel"/>
    <w:tmpl w:val="D012D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1397A"/>
    <w:multiLevelType w:val="multilevel"/>
    <w:tmpl w:val="7116B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21F69"/>
    <w:multiLevelType w:val="multilevel"/>
    <w:tmpl w:val="49C43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31221B"/>
    <w:multiLevelType w:val="multilevel"/>
    <w:tmpl w:val="3BC42C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6CE24EB"/>
    <w:multiLevelType w:val="multilevel"/>
    <w:tmpl w:val="EF146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A26C6"/>
    <w:multiLevelType w:val="multilevel"/>
    <w:tmpl w:val="695A1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905002"/>
    <w:multiLevelType w:val="multilevel"/>
    <w:tmpl w:val="699E6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724AB2"/>
    <w:multiLevelType w:val="multilevel"/>
    <w:tmpl w:val="C3D8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7F15ED"/>
    <w:multiLevelType w:val="multilevel"/>
    <w:tmpl w:val="9DBEE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8B70EBC"/>
    <w:multiLevelType w:val="multilevel"/>
    <w:tmpl w:val="E1563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6654A20"/>
    <w:multiLevelType w:val="multilevel"/>
    <w:tmpl w:val="E1F2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EA12CB8"/>
    <w:multiLevelType w:val="multilevel"/>
    <w:tmpl w:val="6F4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3A03FF"/>
    <w:multiLevelType w:val="multilevel"/>
    <w:tmpl w:val="E52EA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56D7A58"/>
    <w:multiLevelType w:val="multilevel"/>
    <w:tmpl w:val="C1BE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34A5126"/>
    <w:multiLevelType w:val="multilevel"/>
    <w:tmpl w:val="D6041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76394B"/>
    <w:multiLevelType w:val="multilevel"/>
    <w:tmpl w:val="5130E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9540633"/>
    <w:multiLevelType w:val="multilevel"/>
    <w:tmpl w:val="F54E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EAC05E4"/>
    <w:multiLevelType w:val="multilevel"/>
    <w:tmpl w:val="6CF44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3662C2"/>
    <w:multiLevelType w:val="multilevel"/>
    <w:tmpl w:val="DF6A6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E86103"/>
    <w:multiLevelType w:val="multilevel"/>
    <w:tmpl w:val="089CB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8263418">
    <w:abstractNumId w:val="6"/>
  </w:num>
  <w:num w:numId="2" w16cid:durableId="610475111">
    <w:abstractNumId w:val="5"/>
  </w:num>
  <w:num w:numId="3" w16cid:durableId="1915506150">
    <w:abstractNumId w:val="13"/>
  </w:num>
  <w:num w:numId="4" w16cid:durableId="688412704">
    <w:abstractNumId w:val="0"/>
  </w:num>
  <w:num w:numId="5" w16cid:durableId="622660917">
    <w:abstractNumId w:val="10"/>
  </w:num>
  <w:num w:numId="6" w16cid:durableId="83111590">
    <w:abstractNumId w:val="16"/>
  </w:num>
  <w:num w:numId="7" w16cid:durableId="731781339">
    <w:abstractNumId w:val="14"/>
  </w:num>
  <w:num w:numId="8" w16cid:durableId="1357734526">
    <w:abstractNumId w:val="11"/>
  </w:num>
  <w:num w:numId="9" w16cid:durableId="2084404309">
    <w:abstractNumId w:val="9"/>
  </w:num>
  <w:num w:numId="10" w16cid:durableId="760415291">
    <w:abstractNumId w:val="12"/>
  </w:num>
  <w:num w:numId="11" w16cid:durableId="2130856704">
    <w:abstractNumId w:val="3"/>
  </w:num>
  <w:num w:numId="12" w16cid:durableId="979848418">
    <w:abstractNumId w:val="18"/>
  </w:num>
  <w:num w:numId="13" w16cid:durableId="1775399298">
    <w:abstractNumId w:val="8"/>
  </w:num>
  <w:num w:numId="14" w16cid:durableId="2093163669">
    <w:abstractNumId w:val="19"/>
  </w:num>
  <w:num w:numId="15" w16cid:durableId="1577351856">
    <w:abstractNumId w:val="7"/>
  </w:num>
  <w:num w:numId="16" w16cid:durableId="649477999">
    <w:abstractNumId w:val="1"/>
  </w:num>
  <w:num w:numId="17" w16cid:durableId="942419203">
    <w:abstractNumId w:val="4"/>
  </w:num>
  <w:num w:numId="18" w16cid:durableId="201096716">
    <w:abstractNumId w:val="2"/>
  </w:num>
  <w:num w:numId="19" w16cid:durableId="2119138161">
    <w:abstractNumId w:val="17"/>
  </w:num>
  <w:num w:numId="20" w16cid:durableId="17784513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F64"/>
    <w:rsid w:val="005175EA"/>
    <w:rsid w:val="00822730"/>
    <w:rsid w:val="00884F64"/>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71AC0"/>
  <w15:chartTrackingRefBased/>
  <w15:docId w15:val="{43C6AD0F-F9C8-4E51-A465-4C7C631BB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4F64"/>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884F64"/>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884F64"/>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884F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4F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4F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4F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4F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4F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4F64"/>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884F64"/>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884F64"/>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884F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84F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84F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84F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84F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84F64"/>
    <w:rPr>
      <w:rFonts w:eastAsiaTheme="majorEastAsia" w:cstheme="majorBidi"/>
      <w:color w:val="272727" w:themeColor="text1" w:themeTint="D8"/>
    </w:rPr>
  </w:style>
  <w:style w:type="paragraph" w:styleId="Title">
    <w:name w:val="Title"/>
    <w:basedOn w:val="Normal"/>
    <w:next w:val="Normal"/>
    <w:link w:val="TitleChar"/>
    <w:uiPriority w:val="10"/>
    <w:qFormat/>
    <w:rsid w:val="00884F64"/>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884F64"/>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884F64"/>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884F64"/>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884F64"/>
    <w:pPr>
      <w:spacing w:before="160"/>
      <w:jc w:val="center"/>
    </w:pPr>
    <w:rPr>
      <w:i/>
      <w:iCs/>
      <w:color w:val="404040" w:themeColor="text1" w:themeTint="BF"/>
    </w:rPr>
  </w:style>
  <w:style w:type="character" w:customStyle="1" w:styleId="QuoteChar">
    <w:name w:val="Quote Char"/>
    <w:basedOn w:val="DefaultParagraphFont"/>
    <w:link w:val="Quote"/>
    <w:uiPriority w:val="29"/>
    <w:rsid w:val="00884F64"/>
    <w:rPr>
      <w:i/>
      <w:iCs/>
      <w:color w:val="404040" w:themeColor="text1" w:themeTint="BF"/>
    </w:rPr>
  </w:style>
  <w:style w:type="paragraph" w:styleId="ListParagraph">
    <w:name w:val="List Paragraph"/>
    <w:basedOn w:val="Normal"/>
    <w:uiPriority w:val="34"/>
    <w:qFormat/>
    <w:rsid w:val="00884F64"/>
    <w:pPr>
      <w:ind w:left="720"/>
      <w:contextualSpacing/>
    </w:pPr>
  </w:style>
  <w:style w:type="character" w:styleId="IntenseEmphasis">
    <w:name w:val="Intense Emphasis"/>
    <w:basedOn w:val="DefaultParagraphFont"/>
    <w:uiPriority w:val="21"/>
    <w:qFormat/>
    <w:rsid w:val="00884F64"/>
    <w:rPr>
      <w:i/>
      <w:iCs/>
      <w:color w:val="0F4761" w:themeColor="accent1" w:themeShade="BF"/>
    </w:rPr>
  </w:style>
  <w:style w:type="paragraph" w:styleId="IntenseQuote">
    <w:name w:val="Intense Quote"/>
    <w:basedOn w:val="Normal"/>
    <w:next w:val="Normal"/>
    <w:link w:val="IntenseQuoteChar"/>
    <w:uiPriority w:val="30"/>
    <w:qFormat/>
    <w:rsid w:val="00884F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4F64"/>
    <w:rPr>
      <w:i/>
      <w:iCs/>
      <w:color w:val="0F4761" w:themeColor="accent1" w:themeShade="BF"/>
    </w:rPr>
  </w:style>
  <w:style w:type="character" w:styleId="IntenseReference">
    <w:name w:val="Intense Reference"/>
    <w:basedOn w:val="DefaultParagraphFont"/>
    <w:uiPriority w:val="32"/>
    <w:qFormat/>
    <w:rsid w:val="00884F64"/>
    <w:rPr>
      <w:b/>
      <w:bCs/>
      <w:smallCaps/>
      <w:color w:val="0F4761" w:themeColor="accent1" w:themeShade="BF"/>
      <w:spacing w:val="5"/>
    </w:rPr>
  </w:style>
  <w:style w:type="character" w:styleId="Hyperlink">
    <w:name w:val="Hyperlink"/>
    <w:basedOn w:val="DefaultParagraphFont"/>
    <w:uiPriority w:val="99"/>
    <w:unhideWhenUsed/>
    <w:rsid w:val="00884F64"/>
    <w:rPr>
      <w:color w:val="467886" w:themeColor="hyperlink"/>
      <w:u w:val="single"/>
    </w:rPr>
  </w:style>
  <w:style w:type="character" w:styleId="UnresolvedMention">
    <w:name w:val="Unresolved Mention"/>
    <w:basedOn w:val="DefaultParagraphFont"/>
    <w:uiPriority w:val="99"/>
    <w:semiHidden/>
    <w:unhideWhenUsed/>
    <w:rsid w:val="00884F64"/>
    <w:rPr>
      <w:color w:val="605E5C"/>
      <w:shd w:val="clear" w:color="auto" w:fill="E1DFDD"/>
    </w:rPr>
  </w:style>
  <w:style w:type="table" w:styleId="TableGrid">
    <w:name w:val="Table Grid"/>
    <w:basedOn w:val="TableNormal"/>
    <w:uiPriority w:val="39"/>
    <w:rsid w:val="005175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5175E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36/bmjopen-2020-040232?utm_source=chatgpt.com" TargetMode="External"/><Relationship Id="rId18" Type="http://schemas.openxmlformats.org/officeDocument/2006/relationships/image" Target="media/image2.png"/><Relationship Id="rId26" Type="http://schemas.openxmlformats.org/officeDocument/2006/relationships/hyperlink" Target="https://pubmed.ncbi.nlm.nih.gov/35667780/?utm_source=chatgpt.com" TargetMode="External"/><Relationship Id="rId3" Type="http://schemas.openxmlformats.org/officeDocument/2006/relationships/settings" Target="settings.xml"/><Relationship Id="rId21" Type="http://schemas.openxmlformats.org/officeDocument/2006/relationships/hyperlink" Target="https://pmc.ncbi.nlm.nih.gov/articles/PMC11258279/?utm_source=chatgpt.com" TargetMode="External"/><Relationship Id="rId34" Type="http://schemas.openxmlformats.org/officeDocument/2006/relationships/theme" Target="theme/theme1.xml"/><Relationship Id="rId7" Type="http://schemas.openxmlformats.org/officeDocument/2006/relationships/hyperlink" Target="https://pubmed.ncbi.nlm.nih.gov/35667780/?utm_source=chatgpt.com" TargetMode="External"/><Relationship Id="rId12" Type="http://schemas.openxmlformats.org/officeDocument/2006/relationships/hyperlink" Target="https://pubmed.ncbi.nlm.nih.gov/33653740/?utm_source=chatgpt.com" TargetMode="External"/><Relationship Id="rId17" Type="http://schemas.openxmlformats.org/officeDocument/2006/relationships/hyperlink" Target="https://pmc.ncbi.nlm.nih.gov/articles/PMC11258279/?utm_source=chatgpt.com" TargetMode="External"/><Relationship Id="rId25" Type="http://schemas.openxmlformats.org/officeDocument/2006/relationships/hyperlink" Target="https://pubmed.ncbi.nlm.nih.gov/33653740/?utm_source=chatgpt.co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pubmed.ncbi.nlm.nih.gov/38436274/?utm_source=chatgpt.com" TargetMode="External"/><Relationship Id="rId20" Type="http://schemas.openxmlformats.org/officeDocument/2006/relationships/hyperlink" Target="https://doi.org/10.1136/bmjopen-2020-040232?utm_source=chatgpt.com" TargetMode="External"/><Relationship Id="rId29" Type="http://schemas.openxmlformats.org/officeDocument/2006/relationships/hyperlink" Target="https://pubmed.ncbi.nlm.nih.gov/41136594/?utm_source=chatgpt.com" TargetMode="External"/><Relationship Id="rId1" Type="http://schemas.openxmlformats.org/officeDocument/2006/relationships/numbering" Target="numbering.xml"/><Relationship Id="rId6" Type="http://schemas.openxmlformats.org/officeDocument/2006/relationships/hyperlink" Target="https://pmc.ncbi.nlm.nih.gov/articles/PMC11258279/?utm_source=chatgpt.com" TargetMode="External"/><Relationship Id="rId11" Type="http://schemas.openxmlformats.org/officeDocument/2006/relationships/hyperlink" Target="https://pubmed.ncbi.nlm.nih.gov/39025937/?utm_source=chatgpt.com" TargetMode="External"/><Relationship Id="rId24" Type="http://schemas.openxmlformats.org/officeDocument/2006/relationships/hyperlink" Target="https://pubmed.ncbi.nlm.nih.gov/39025937/?utm_source=chatgpt.com" TargetMode="External"/><Relationship Id="rId32"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hyperlink" Target="https://pmc.ncbi.nlm.nih.gov/articles/PMC11258279/?utm_source=chatgpt.com" TargetMode="External"/><Relationship Id="rId23" Type="http://schemas.openxmlformats.org/officeDocument/2006/relationships/hyperlink" Target="https://doi.org/10.1007/s40273-026-01620-5?utm_source=chatgpt.com" TargetMode="External"/><Relationship Id="rId28" Type="http://schemas.openxmlformats.org/officeDocument/2006/relationships/hyperlink" Target="https://pubmed.ncbi.nlm.nih.gov/38436274/?utm_source=chatgpt.com" TargetMode="External"/><Relationship Id="rId10" Type="http://schemas.openxmlformats.org/officeDocument/2006/relationships/hyperlink" Target="https://pubmed.ncbi.nlm.nih.gov/38436274/?utm_source=chatgpt.com" TargetMode="External"/><Relationship Id="rId19" Type="http://schemas.openxmlformats.org/officeDocument/2006/relationships/image" Target="media/image3.png"/><Relationship Id="rId31" Type="http://schemas.openxmlformats.org/officeDocument/2006/relationships/hyperlink" Target="https://journals.sagepub.com/doi/10.1177/1357633X16669239?utm_source=chatgpt.com" TargetMode="External"/><Relationship Id="rId4" Type="http://schemas.openxmlformats.org/officeDocument/2006/relationships/webSettings" Target="webSettings.xml"/><Relationship Id="rId9" Type="http://schemas.openxmlformats.org/officeDocument/2006/relationships/hyperlink" Target="https://pubmed.ncbi.nlm.nih.gov/35667780/?utm_source=chatgpt.com" TargetMode="External"/><Relationship Id="rId14" Type="http://schemas.openxmlformats.org/officeDocument/2006/relationships/hyperlink" Target="https://pubmed.ncbi.nlm.nih.gov/35667780/?utm_source=chatgpt.com" TargetMode="External"/><Relationship Id="rId22" Type="http://schemas.openxmlformats.org/officeDocument/2006/relationships/hyperlink" Target="https://pubmed.ncbi.nlm.nih.gov/35667780/?utm_source=chatgpt.com" TargetMode="External"/><Relationship Id="rId27" Type="http://schemas.openxmlformats.org/officeDocument/2006/relationships/hyperlink" Target="https://pmc.ncbi.nlm.nih.gov/articles/PMC11574531/?utm_source=chatgpt.com" TargetMode="External"/><Relationship Id="rId30" Type="http://schemas.openxmlformats.org/officeDocument/2006/relationships/hyperlink" Target="https://doi.org/10.1007/s40273-026-01620-5?utm_source=chatgpt.com" TargetMode="External"/><Relationship Id="rId8" Type="http://schemas.openxmlformats.org/officeDocument/2006/relationships/hyperlink" Target="https://pubmed.ncbi.nlm.nih.gov/33653740/?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5434</Words>
  <Characters>30977</Characters>
  <Application>Microsoft Office Word</Application>
  <DocSecurity>0</DocSecurity>
  <Lines>258</Lines>
  <Paragraphs>72</Paragraphs>
  <ScaleCrop>false</ScaleCrop>
  <Company/>
  <LinksUpToDate>false</LinksUpToDate>
  <CharactersWithSpaces>36339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xx5949@365mak.com</dc:creator>
  <cp:keywords/>
  <dc:description/>
  <cp:lastModifiedBy>xx5949@365mak.com</cp:lastModifiedBy>
  <cp:revision>2</cp:revision>
  <dcterms:created xsi:type="dcterms:W3CDTF">2026-09-27T13:43:00Z</dcterms:created>
  <dcterms:modified xsi:type="dcterms:W3CDTF">2026-09-27T13:50:00Z</dcterms:modified>
</cp:coreProperties>
</file>