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EB6E1C" w:rsidRDefault="0056617A" w:rsidP="0056617A">
      <w:pPr>
        <w:rPr>
          <w:rFonts w:ascii="Times New Roman" w:hAnsi="Times New Roman" w:cs="Times New Roman"/>
        </w:rPr>
      </w:pPr>
      <w:r w:rsidRPr="00EB6E1C">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EB6E1C" w:rsidRDefault="0056617A" w:rsidP="0056617A">
      <w:pPr>
        <w:rPr>
          <w:rFonts w:ascii="Times New Roman" w:hAnsi="Times New Roman" w:cs="Times New Roman"/>
          <w:b/>
          <w:bCs/>
        </w:rPr>
      </w:pPr>
      <w:r w:rsidRPr="00EB6E1C">
        <w:rPr>
          <w:rFonts w:ascii="Times New Roman" w:hAnsi="Times New Roman" w:cs="Times New Roman"/>
          <w:b/>
          <w:bCs/>
        </w:rPr>
        <w:t xml:space="preserve">Cultural Heritage Management </w:t>
      </w:r>
    </w:p>
    <w:p w14:paraId="3A8F1A2B" w14:textId="77777777" w:rsidR="0056617A" w:rsidRPr="00EB6E1C" w:rsidRDefault="0056617A" w:rsidP="0056617A">
      <w:pPr>
        <w:rPr>
          <w:rFonts w:ascii="Times New Roman" w:hAnsi="Times New Roman" w:cs="Times New Roman"/>
        </w:rPr>
      </w:pPr>
      <w:r w:rsidRPr="00EB6E1C">
        <w:rPr>
          <w:rFonts w:ascii="Times New Roman" w:hAnsi="Times New Roman" w:cs="Times New Roman"/>
        </w:rPr>
        <w:t>Assignment 5</w:t>
      </w:r>
    </w:p>
    <w:p w14:paraId="1EEBB239" w14:textId="77777777" w:rsidR="0056617A" w:rsidRPr="00EB6E1C" w:rsidRDefault="0056617A" w:rsidP="0056617A">
      <w:pPr>
        <w:rPr>
          <w:rFonts w:ascii="Times New Roman" w:hAnsi="Times New Roman" w:cs="Times New Roman"/>
        </w:rPr>
      </w:pPr>
      <w:r w:rsidRPr="00EB6E1C">
        <w:rPr>
          <w:rFonts w:ascii="Times New Roman" w:hAnsi="Times New Roman" w:cs="Times New Roman"/>
        </w:rPr>
        <w:t>12.05.2026</w:t>
      </w:r>
    </w:p>
    <w:p w14:paraId="3A545DD5" w14:textId="77777777" w:rsidR="0056617A" w:rsidRPr="00EB6E1C" w:rsidRDefault="0056617A" w:rsidP="0056617A">
      <w:pPr>
        <w:rPr>
          <w:rFonts w:ascii="Times New Roman" w:hAnsi="Times New Roman" w:cs="Times New Roman"/>
        </w:rPr>
      </w:pPr>
    </w:p>
    <w:p w14:paraId="3124E14F" w14:textId="77777777" w:rsidR="0056617A" w:rsidRPr="00EB6E1C" w:rsidRDefault="0056617A" w:rsidP="0056617A">
      <w:pPr>
        <w:spacing w:line="276" w:lineRule="auto"/>
        <w:rPr>
          <w:rFonts w:ascii="Times New Roman" w:hAnsi="Times New Roman" w:cs="Times New Roman"/>
          <w:b/>
          <w:bCs/>
          <w:lang w:val="en-US"/>
        </w:rPr>
      </w:pPr>
    </w:p>
    <w:p w14:paraId="4973D986" w14:textId="77777777" w:rsidR="0056617A" w:rsidRPr="00EB6E1C" w:rsidRDefault="0056617A" w:rsidP="0056617A">
      <w:pPr>
        <w:spacing w:line="276" w:lineRule="auto"/>
        <w:rPr>
          <w:rFonts w:ascii="Times New Roman" w:hAnsi="Times New Roman" w:cs="Times New Roman"/>
          <w:b/>
          <w:bCs/>
          <w:lang w:val="en-US"/>
        </w:rPr>
      </w:pPr>
    </w:p>
    <w:p w14:paraId="748CCBDD" w14:textId="77777777" w:rsidR="0056617A" w:rsidRPr="00EB6E1C" w:rsidRDefault="0056617A" w:rsidP="0056617A">
      <w:pPr>
        <w:spacing w:line="276" w:lineRule="auto"/>
        <w:rPr>
          <w:rFonts w:ascii="Times New Roman" w:hAnsi="Times New Roman" w:cs="Times New Roman"/>
          <w:b/>
          <w:bCs/>
          <w:lang w:val="en-US"/>
        </w:rPr>
      </w:pPr>
    </w:p>
    <w:p w14:paraId="3B4EE6B6" w14:textId="77777777" w:rsidR="0056617A" w:rsidRPr="00EB6E1C" w:rsidRDefault="0056617A" w:rsidP="0056617A">
      <w:pPr>
        <w:spacing w:line="276" w:lineRule="auto"/>
        <w:rPr>
          <w:rFonts w:ascii="Times New Roman" w:hAnsi="Times New Roman" w:cs="Times New Roman"/>
          <w:b/>
          <w:bCs/>
          <w:lang w:val="en-US"/>
        </w:rPr>
      </w:pPr>
    </w:p>
    <w:p w14:paraId="009F6910" w14:textId="77777777" w:rsidR="0056617A" w:rsidRPr="00EB6E1C" w:rsidRDefault="0056617A" w:rsidP="0056617A">
      <w:pPr>
        <w:spacing w:line="276" w:lineRule="auto"/>
        <w:rPr>
          <w:rFonts w:ascii="Times New Roman" w:hAnsi="Times New Roman" w:cs="Times New Roman"/>
          <w:b/>
          <w:bCs/>
          <w:lang w:val="en-US"/>
        </w:rPr>
      </w:pPr>
    </w:p>
    <w:p w14:paraId="33E6D850" w14:textId="77777777" w:rsidR="0056617A" w:rsidRPr="00EB6E1C" w:rsidRDefault="0056617A" w:rsidP="0056617A">
      <w:pPr>
        <w:spacing w:line="276" w:lineRule="auto"/>
        <w:rPr>
          <w:rFonts w:ascii="Times New Roman" w:hAnsi="Times New Roman" w:cs="Times New Roman"/>
          <w:b/>
          <w:bCs/>
          <w:lang w:val="en-US"/>
        </w:rPr>
      </w:pPr>
    </w:p>
    <w:p w14:paraId="779CD201" w14:textId="77777777" w:rsidR="0056617A" w:rsidRPr="00EB6E1C" w:rsidRDefault="0056617A" w:rsidP="0056617A">
      <w:pPr>
        <w:spacing w:line="276" w:lineRule="auto"/>
        <w:rPr>
          <w:rFonts w:ascii="Times New Roman" w:hAnsi="Times New Roman" w:cs="Times New Roman"/>
          <w:b/>
          <w:bCs/>
          <w:lang w:val="en-US"/>
        </w:rPr>
      </w:pPr>
    </w:p>
    <w:p w14:paraId="3DB32AB9" w14:textId="77777777" w:rsidR="0056617A" w:rsidRPr="00EB6E1C" w:rsidRDefault="0056617A" w:rsidP="0056617A">
      <w:pPr>
        <w:spacing w:line="276" w:lineRule="auto"/>
        <w:rPr>
          <w:rFonts w:ascii="Times New Roman" w:hAnsi="Times New Roman" w:cs="Times New Roman"/>
          <w:b/>
          <w:bCs/>
          <w:lang w:val="en-US"/>
        </w:rPr>
      </w:pPr>
    </w:p>
    <w:p w14:paraId="0A26F7BC" w14:textId="77777777" w:rsidR="0056617A" w:rsidRPr="00EB6E1C" w:rsidRDefault="0056617A" w:rsidP="0056617A">
      <w:pPr>
        <w:spacing w:line="276" w:lineRule="auto"/>
        <w:rPr>
          <w:rFonts w:ascii="Times New Roman" w:hAnsi="Times New Roman" w:cs="Times New Roman"/>
          <w:b/>
          <w:bCs/>
          <w:lang w:val="en-US"/>
        </w:rPr>
      </w:pPr>
    </w:p>
    <w:p w14:paraId="51A07E2F" w14:textId="1D7AC6BD" w:rsidR="0056617A" w:rsidRPr="00EB6E1C" w:rsidRDefault="0056617A" w:rsidP="0056617A">
      <w:pPr>
        <w:spacing w:line="276" w:lineRule="auto"/>
        <w:rPr>
          <w:rFonts w:ascii="Times New Roman" w:hAnsi="Times New Roman" w:cs="Times New Roman"/>
          <w:b/>
          <w:bCs/>
          <w:lang w:val="en-US"/>
        </w:rPr>
      </w:pPr>
      <w:r w:rsidRPr="00EB6E1C">
        <w:rPr>
          <w:rFonts w:ascii="Times New Roman" w:hAnsi="Times New Roman" w:cs="Times New Roman"/>
          <w:b/>
          <w:bCs/>
          <w:lang w:val="en-US"/>
        </w:rPr>
        <w:t>In no more than 500 words each, explain and 2-4 references:</w:t>
      </w:r>
    </w:p>
    <w:p w14:paraId="1515A7B2" w14:textId="77777777" w:rsidR="0056617A" w:rsidRPr="00EB6E1C" w:rsidRDefault="0056617A" w:rsidP="0056617A">
      <w:pPr>
        <w:rPr>
          <w:rFonts w:ascii="Times New Roman" w:hAnsi="Times New Roman" w:cs="Times New Roman"/>
          <w:lang w:val="en-US"/>
        </w:rPr>
      </w:pPr>
    </w:p>
    <w:p w14:paraId="7ACF0A3D" w14:textId="77777777" w:rsidR="0056617A" w:rsidRPr="00EB6E1C" w:rsidRDefault="0056617A" w:rsidP="0056617A">
      <w:pPr>
        <w:pStyle w:val="ListParagraph"/>
        <w:numPr>
          <w:ilvl w:val="0"/>
          <w:numId w:val="1"/>
        </w:numPr>
        <w:spacing w:line="276" w:lineRule="auto"/>
        <w:rPr>
          <w:rFonts w:ascii="Times New Roman" w:hAnsi="Times New Roman" w:cs="Times New Roman"/>
          <w:b/>
          <w:bCs/>
          <w:lang w:val="en-US"/>
        </w:rPr>
      </w:pPr>
      <w:r w:rsidRPr="00EB6E1C">
        <w:rPr>
          <w:rFonts w:ascii="Times New Roman" w:hAnsi="Times New Roman" w:cs="Times New Roman"/>
          <w:b/>
          <w:bCs/>
          <w:lang w:val="en-US"/>
        </w:rPr>
        <w:t>What is meant by “Outstanding Universal Value (OUV)” in World Heritage management?</w:t>
      </w:r>
    </w:p>
    <w:p w14:paraId="73C8B74D" w14:textId="77777777" w:rsidR="0056617A" w:rsidRPr="00EB6E1C" w:rsidRDefault="0056617A" w:rsidP="0056617A">
      <w:pPr>
        <w:pStyle w:val="ListParagraph"/>
        <w:numPr>
          <w:ilvl w:val="0"/>
          <w:numId w:val="1"/>
        </w:numPr>
        <w:spacing w:line="276" w:lineRule="auto"/>
        <w:rPr>
          <w:rFonts w:ascii="Times New Roman" w:hAnsi="Times New Roman" w:cs="Times New Roman"/>
          <w:lang w:val="en-US"/>
        </w:rPr>
      </w:pPr>
      <w:r w:rsidRPr="00EB6E1C">
        <w:rPr>
          <w:rFonts w:ascii="Times New Roman" w:hAnsi="Times New Roman" w:cs="Times New Roman"/>
          <w:b/>
          <w:bCs/>
          <w:lang w:val="en-US"/>
        </w:rPr>
        <w:t>Explain the relationship between planning, implementation, and monitoring in heritage management systems.</w:t>
      </w:r>
    </w:p>
    <w:p w14:paraId="762CE999" w14:textId="77777777" w:rsidR="0056617A" w:rsidRPr="00EB6E1C" w:rsidRDefault="0056617A" w:rsidP="0056617A">
      <w:pPr>
        <w:pStyle w:val="ListParagraph"/>
        <w:spacing w:line="276" w:lineRule="auto"/>
        <w:ind w:left="0"/>
        <w:rPr>
          <w:rFonts w:ascii="Times New Roman" w:hAnsi="Times New Roman" w:cs="Times New Roman"/>
          <w:b/>
          <w:bCs/>
          <w:lang w:val="en-US"/>
        </w:rPr>
      </w:pPr>
    </w:p>
    <w:p w14:paraId="5B054BFC" w14:textId="77777777" w:rsidR="0056617A" w:rsidRPr="00EB6E1C" w:rsidRDefault="0056617A">
      <w:pPr>
        <w:rPr>
          <w:rFonts w:ascii="Times New Roman" w:hAnsi="Times New Roman" w:cs="Times New Roman"/>
          <w:lang w:val="en-US"/>
        </w:rPr>
      </w:pPr>
    </w:p>
    <w:p w14:paraId="339460ED" w14:textId="77777777" w:rsidR="0056617A" w:rsidRPr="00EB6E1C" w:rsidRDefault="0056617A">
      <w:pPr>
        <w:rPr>
          <w:rFonts w:ascii="Times New Roman" w:hAnsi="Times New Roman" w:cs="Times New Roman"/>
          <w:lang w:val="en-US"/>
        </w:rPr>
      </w:pPr>
    </w:p>
    <w:p w14:paraId="4F8644AF" w14:textId="77777777" w:rsidR="0056617A" w:rsidRPr="00EB6E1C" w:rsidRDefault="0056617A">
      <w:pPr>
        <w:rPr>
          <w:rFonts w:ascii="Times New Roman" w:hAnsi="Times New Roman" w:cs="Times New Roman"/>
          <w:lang w:val="en-US"/>
        </w:rPr>
      </w:pPr>
    </w:p>
    <w:p w14:paraId="12EDD19B" w14:textId="77777777" w:rsidR="0056617A" w:rsidRPr="00EB6E1C" w:rsidRDefault="0056617A">
      <w:pPr>
        <w:rPr>
          <w:rFonts w:ascii="Times New Roman" w:hAnsi="Times New Roman" w:cs="Times New Roman"/>
          <w:lang w:val="en-US"/>
        </w:rPr>
      </w:pPr>
    </w:p>
    <w:p w14:paraId="29C2B5D5" w14:textId="77777777" w:rsidR="0056617A" w:rsidRPr="00EB6E1C" w:rsidRDefault="0056617A">
      <w:pPr>
        <w:rPr>
          <w:rFonts w:ascii="Times New Roman" w:hAnsi="Times New Roman" w:cs="Times New Roman"/>
          <w:lang w:val="en-US"/>
        </w:rPr>
      </w:pPr>
    </w:p>
    <w:p w14:paraId="3BB58E21" w14:textId="77777777" w:rsidR="0056617A" w:rsidRPr="00EB6E1C" w:rsidRDefault="0056617A">
      <w:pPr>
        <w:rPr>
          <w:rFonts w:ascii="Times New Roman" w:hAnsi="Times New Roman" w:cs="Times New Roman"/>
          <w:lang w:val="en-US"/>
        </w:rPr>
      </w:pPr>
    </w:p>
    <w:p w14:paraId="709565CA" w14:textId="77777777" w:rsidR="0056617A" w:rsidRPr="00EB6E1C" w:rsidRDefault="0056617A">
      <w:pPr>
        <w:rPr>
          <w:rFonts w:ascii="Times New Roman" w:hAnsi="Times New Roman" w:cs="Times New Roman"/>
          <w:lang w:val="en-US"/>
        </w:rPr>
      </w:pPr>
    </w:p>
    <w:p w14:paraId="721EE86D" w14:textId="77777777" w:rsidR="0056617A" w:rsidRPr="00EB6E1C" w:rsidRDefault="0056617A">
      <w:pPr>
        <w:rPr>
          <w:rFonts w:ascii="Times New Roman" w:hAnsi="Times New Roman" w:cs="Times New Roman"/>
          <w:lang w:val="en-US"/>
        </w:rPr>
      </w:pPr>
    </w:p>
    <w:p w14:paraId="51120942" w14:textId="77777777" w:rsidR="0056617A" w:rsidRPr="00EB6E1C" w:rsidRDefault="0056617A">
      <w:pPr>
        <w:rPr>
          <w:rFonts w:ascii="Times New Roman" w:hAnsi="Times New Roman" w:cs="Times New Roman"/>
          <w:lang w:val="en-US"/>
        </w:rPr>
      </w:pPr>
    </w:p>
    <w:p w14:paraId="0358E5EF" w14:textId="77777777" w:rsidR="0056617A" w:rsidRPr="00EB6E1C" w:rsidRDefault="0056617A">
      <w:pPr>
        <w:rPr>
          <w:rFonts w:ascii="Times New Roman" w:hAnsi="Times New Roman" w:cs="Times New Roman"/>
          <w:lang w:val="en-US"/>
        </w:rPr>
      </w:pPr>
    </w:p>
    <w:p w14:paraId="4E12E6CA" w14:textId="77777777" w:rsidR="0056617A" w:rsidRPr="00EB6E1C" w:rsidRDefault="0056617A">
      <w:pPr>
        <w:rPr>
          <w:rFonts w:ascii="Times New Roman" w:hAnsi="Times New Roman" w:cs="Times New Roman"/>
          <w:lang w:val="en-US"/>
        </w:rPr>
      </w:pPr>
    </w:p>
    <w:p w14:paraId="3A09E05F" w14:textId="77777777" w:rsidR="0056617A" w:rsidRPr="00EB6E1C" w:rsidRDefault="0056617A">
      <w:pPr>
        <w:rPr>
          <w:rFonts w:ascii="Times New Roman" w:hAnsi="Times New Roman" w:cs="Times New Roman"/>
          <w:lang w:val="en-US"/>
        </w:rPr>
      </w:pPr>
    </w:p>
    <w:p w14:paraId="7605847A" w14:textId="77777777" w:rsidR="0056617A" w:rsidRPr="00EB6E1C" w:rsidRDefault="0056617A">
      <w:pPr>
        <w:rPr>
          <w:rFonts w:ascii="Times New Roman" w:hAnsi="Times New Roman" w:cs="Times New Roman"/>
          <w:lang w:val="en-US"/>
        </w:rPr>
      </w:pPr>
    </w:p>
    <w:p w14:paraId="4FB7F7E0" w14:textId="77777777" w:rsidR="0056617A" w:rsidRPr="00EB6E1C" w:rsidRDefault="0056617A">
      <w:pPr>
        <w:rPr>
          <w:rFonts w:ascii="Times New Roman" w:hAnsi="Times New Roman" w:cs="Times New Roman"/>
          <w:lang w:val="en-US"/>
        </w:rPr>
      </w:pPr>
    </w:p>
    <w:p w14:paraId="12E76367" w14:textId="77777777" w:rsidR="0056617A" w:rsidRPr="00EB6E1C" w:rsidRDefault="0056617A">
      <w:pPr>
        <w:rPr>
          <w:rFonts w:ascii="Times New Roman" w:hAnsi="Times New Roman" w:cs="Times New Roman"/>
          <w:lang w:val="en-US"/>
        </w:rPr>
      </w:pPr>
    </w:p>
    <w:p w14:paraId="2B428BD6" w14:textId="77777777" w:rsidR="0056617A" w:rsidRPr="00EB6E1C" w:rsidRDefault="0056617A">
      <w:pPr>
        <w:rPr>
          <w:rFonts w:ascii="Times New Roman" w:hAnsi="Times New Roman" w:cs="Times New Roman"/>
          <w:lang w:val="en-US"/>
        </w:rPr>
      </w:pPr>
    </w:p>
    <w:p w14:paraId="7231C7ED" w14:textId="77777777" w:rsidR="0056617A" w:rsidRDefault="0056617A">
      <w:pPr>
        <w:rPr>
          <w:rFonts w:ascii="Times New Roman" w:hAnsi="Times New Roman" w:cs="Times New Roman"/>
          <w:lang w:val="en-US"/>
        </w:rPr>
      </w:pPr>
    </w:p>
    <w:p w14:paraId="7061B955" w14:textId="77777777" w:rsidR="00EB6E1C" w:rsidRDefault="00EB6E1C">
      <w:pPr>
        <w:rPr>
          <w:rFonts w:ascii="Times New Roman" w:hAnsi="Times New Roman" w:cs="Times New Roman"/>
          <w:lang w:val="en-US"/>
        </w:rPr>
      </w:pPr>
    </w:p>
    <w:p w14:paraId="2AAAD0B6" w14:textId="77777777" w:rsidR="00EB6E1C" w:rsidRDefault="00EB6E1C">
      <w:pPr>
        <w:rPr>
          <w:rFonts w:ascii="Times New Roman" w:hAnsi="Times New Roman" w:cs="Times New Roman"/>
          <w:lang w:val="en-US"/>
        </w:rPr>
      </w:pPr>
    </w:p>
    <w:p w14:paraId="361AFD8F" w14:textId="77777777" w:rsidR="00EB6E1C" w:rsidRPr="00EB6E1C" w:rsidRDefault="00EB6E1C">
      <w:pPr>
        <w:rPr>
          <w:rFonts w:ascii="Times New Roman" w:hAnsi="Times New Roman" w:cs="Times New Roman"/>
          <w:lang w:val="en-US"/>
        </w:rPr>
      </w:pPr>
    </w:p>
    <w:p w14:paraId="11DD6850" w14:textId="77777777" w:rsidR="0056617A" w:rsidRPr="00EB6E1C" w:rsidRDefault="0056617A">
      <w:pPr>
        <w:rPr>
          <w:rFonts w:ascii="Times New Roman" w:hAnsi="Times New Roman" w:cs="Times New Roman"/>
          <w:lang w:val="en-US"/>
        </w:rPr>
      </w:pPr>
    </w:p>
    <w:p w14:paraId="3045A9E9" w14:textId="77777777" w:rsidR="0056617A" w:rsidRPr="00EB6E1C" w:rsidRDefault="0056617A">
      <w:pPr>
        <w:rPr>
          <w:rFonts w:ascii="Times New Roman" w:hAnsi="Times New Roman" w:cs="Times New Roman"/>
          <w:lang w:val="en-US"/>
        </w:rPr>
      </w:pPr>
    </w:p>
    <w:p w14:paraId="184FE467" w14:textId="77777777" w:rsidR="0056617A" w:rsidRPr="00EB6E1C" w:rsidRDefault="0056617A">
      <w:pPr>
        <w:rPr>
          <w:rFonts w:ascii="Times New Roman" w:hAnsi="Times New Roman" w:cs="Times New Roman"/>
          <w:lang w:val="en-US"/>
        </w:rPr>
      </w:pPr>
    </w:p>
    <w:p w14:paraId="783A1D0C" w14:textId="77777777" w:rsidR="00EB6E1C" w:rsidRPr="00EB6E1C" w:rsidRDefault="00EB6E1C" w:rsidP="00EB6E1C">
      <w:pPr>
        <w:rPr>
          <w:rFonts w:ascii="Times New Roman" w:hAnsi="Times New Roman" w:cs="Times New Roman"/>
          <w:b/>
          <w:bCs/>
          <w:lang w:val="en-GB"/>
        </w:rPr>
      </w:pPr>
      <w:r w:rsidRPr="00EB6E1C">
        <w:rPr>
          <w:rFonts w:ascii="Times New Roman" w:hAnsi="Times New Roman" w:cs="Times New Roman"/>
          <w:b/>
          <w:bCs/>
          <w:lang w:val="en-GB"/>
        </w:rPr>
        <w:lastRenderedPageBreak/>
        <w:t>1. Outstanding Universal Value (OUV) in World Heritage Management</w:t>
      </w:r>
    </w:p>
    <w:p w14:paraId="55A53352" w14:textId="77777777" w:rsidR="00EB6E1C" w:rsidRPr="00EB6E1C" w:rsidRDefault="00EB6E1C" w:rsidP="00EB6E1C">
      <w:pPr>
        <w:rPr>
          <w:rFonts w:ascii="Times New Roman" w:hAnsi="Times New Roman" w:cs="Times New Roman"/>
          <w:b/>
          <w:bCs/>
          <w:lang w:val="en-GB"/>
        </w:rPr>
      </w:pPr>
    </w:p>
    <w:p w14:paraId="687953FC"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Outstanding Universal Value (OUV) is the defining principle of the UNESCO World Heritage Convention and represents the exceptional significance of a cultural or natural property that is important to all humanity. UNESCO describes OUV as value that transcends national boundaries and possesses importance for present and future generations across the world (UNESCO World Heritage Centre, 2019). A heritage site must demonstrate OUV before it can be inscribed on the World Heritage List.</w:t>
      </w:r>
    </w:p>
    <w:p w14:paraId="1197E9DA"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The concept of OUV is evaluated through specific selection criteria established by UNESCO. These criteria include architectural excellence, historical importance, ecological significance, biodiversity, and cultural traditions. In addition to fulfilling at least one criterion, a property must also maintain authenticity, integrity, and effective management systems (Meskell, 2018). Authenticity refers to the genuineness of cultural attributes, while integrity concerns the wholeness and intactness of the site.</w:t>
      </w:r>
    </w:p>
    <w:p w14:paraId="0BF31AFA"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In heritage management, OUV acts as the central framework guiding conservation strategies and policy decisions. All management activities, including restoration, tourism development, urban planning, and environmental protection, are designed to safeguard the characteristics that express OUV (</w:t>
      </w:r>
      <w:proofErr w:type="spellStart"/>
      <w:r w:rsidRPr="00EB6E1C">
        <w:rPr>
          <w:rFonts w:ascii="Times New Roman" w:hAnsi="Times New Roman" w:cs="Times New Roman"/>
          <w:lang w:val="en-GB"/>
        </w:rPr>
        <w:t>Bandarin</w:t>
      </w:r>
      <w:proofErr w:type="spellEnd"/>
      <w:r w:rsidRPr="00EB6E1C">
        <w:rPr>
          <w:rFonts w:ascii="Times New Roman" w:hAnsi="Times New Roman" w:cs="Times New Roman"/>
          <w:lang w:val="en-GB"/>
        </w:rPr>
        <w:t xml:space="preserve"> &amp; van </w:t>
      </w:r>
      <w:proofErr w:type="spellStart"/>
      <w:r w:rsidRPr="00EB6E1C">
        <w:rPr>
          <w:rFonts w:ascii="Times New Roman" w:hAnsi="Times New Roman" w:cs="Times New Roman"/>
          <w:lang w:val="en-GB"/>
        </w:rPr>
        <w:t>Oers</w:t>
      </w:r>
      <w:proofErr w:type="spellEnd"/>
      <w:r w:rsidRPr="00EB6E1C">
        <w:rPr>
          <w:rFonts w:ascii="Times New Roman" w:hAnsi="Times New Roman" w:cs="Times New Roman"/>
          <w:lang w:val="en-GB"/>
        </w:rPr>
        <w:t>, 2012). Heritage managers must therefore balance conservation with economic and social development while ensuring that the site’s universal significance is not compromised.</w:t>
      </w:r>
    </w:p>
    <w:p w14:paraId="085EA6F1"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 xml:space="preserve">OUV also promotes international responsibility and cooperation. Since World Heritage Sites are considered valuable to </w:t>
      </w:r>
      <w:proofErr w:type="gramStart"/>
      <w:r w:rsidRPr="00EB6E1C">
        <w:rPr>
          <w:rFonts w:ascii="Times New Roman" w:hAnsi="Times New Roman" w:cs="Times New Roman"/>
          <w:lang w:val="en-GB"/>
        </w:rPr>
        <w:t>humanity as a whole, their</w:t>
      </w:r>
      <w:proofErr w:type="gramEnd"/>
      <w:r w:rsidRPr="00EB6E1C">
        <w:rPr>
          <w:rFonts w:ascii="Times New Roman" w:hAnsi="Times New Roman" w:cs="Times New Roman"/>
          <w:lang w:val="en-GB"/>
        </w:rPr>
        <w:t xml:space="preserve"> protection is viewed as a shared global duty. This principle encourages collaboration among governments, international organizations, local communities, and conservation experts (Logan, 2012). Public participation and sustainable tourism are increasingly recognized as essential elements of maintaining OUV over the long term.</w:t>
      </w:r>
    </w:p>
    <w:p w14:paraId="32370EEB"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Furthermore, OUV is not static; it requires continuous assessment and protection in response to modern challenges such as climate change, urbanization, and mass tourism. Heritage management systems therefore rely on regular monitoring and adaptive planning to preserve the values for which a property was originally inscribed.</w:t>
      </w:r>
    </w:p>
    <w:p w14:paraId="05441D06"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In conclusion, OUV is both a symbolic and practical concept in World Heritage management. It establishes the global importance of heritage sites and guides all conservation and management efforts aimed at preserving them for future generations.</w:t>
      </w:r>
    </w:p>
    <w:p w14:paraId="211A25E1" w14:textId="3A0AACA6" w:rsidR="00EB6E1C" w:rsidRPr="00EB6E1C" w:rsidRDefault="00EB6E1C" w:rsidP="00EB6E1C">
      <w:pPr>
        <w:rPr>
          <w:rFonts w:ascii="Times New Roman" w:hAnsi="Times New Roman" w:cs="Times New Roman"/>
          <w:lang w:val="en-GB"/>
        </w:rPr>
      </w:pPr>
    </w:p>
    <w:p w14:paraId="590D979F" w14:textId="77777777" w:rsidR="00EB6E1C" w:rsidRPr="00EB6E1C" w:rsidRDefault="00EB6E1C" w:rsidP="00EB6E1C">
      <w:pPr>
        <w:rPr>
          <w:rFonts w:ascii="Times New Roman" w:hAnsi="Times New Roman" w:cs="Times New Roman"/>
          <w:lang w:val="en-GB"/>
        </w:rPr>
      </w:pPr>
    </w:p>
    <w:p w14:paraId="06CCA7CD" w14:textId="77777777" w:rsidR="00EB6E1C" w:rsidRPr="00EB6E1C" w:rsidRDefault="00EB6E1C" w:rsidP="00EB6E1C">
      <w:pPr>
        <w:rPr>
          <w:rFonts w:ascii="Times New Roman" w:hAnsi="Times New Roman" w:cs="Times New Roman"/>
          <w:b/>
          <w:bCs/>
          <w:lang w:val="en-GB"/>
        </w:rPr>
      </w:pPr>
    </w:p>
    <w:p w14:paraId="73B92F9A" w14:textId="77777777" w:rsidR="00EB6E1C" w:rsidRPr="00EB6E1C" w:rsidRDefault="00EB6E1C" w:rsidP="00EB6E1C">
      <w:pPr>
        <w:rPr>
          <w:rFonts w:ascii="Times New Roman" w:hAnsi="Times New Roman" w:cs="Times New Roman"/>
          <w:b/>
          <w:bCs/>
          <w:lang w:val="en-GB"/>
        </w:rPr>
      </w:pPr>
    </w:p>
    <w:p w14:paraId="73C95662" w14:textId="77777777" w:rsidR="00EB6E1C" w:rsidRPr="00EB6E1C" w:rsidRDefault="00EB6E1C" w:rsidP="00EB6E1C">
      <w:pPr>
        <w:rPr>
          <w:rFonts w:ascii="Times New Roman" w:hAnsi="Times New Roman" w:cs="Times New Roman"/>
          <w:b/>
          <w:bCs/>
          <w:lang w:val="en-GB"/>
        </w:rPr>
      </w:pPr>
    </w:p>
    <w:p w14:paraId="437F9AEE" w14:textId="77777777" w:rsidR="00EB6E1C" w:rsidRPr="00EB6E1C" w:rsidRDefault="00EB6E1C" w:rsidP="00EB6E1C">
      <w:pPr>
        <w:rPr>
          <w:rFonts w:ascii="Times New Roman" w:hAnsi="Times New Roman" w:cs="Times New Roman"/>
          <w:b/>
          <w:bCs/>
          <w:lang w:val="en-GB"/>
        </w:rPr>
      </w:pPr>
    </w:p>
    <w:p w14:paraId="4ACD4727" w14:textId="77777777" w:rsidR="00EB6E1C" w:rsidRPr="00EB6E1C" w:rsidRDefault="00EB6E1C" w:rsidP="00EB6E1C">
      <w:pPr>
        <w:rPr>
          <w:rFonts w:ascii="Times New Roman" w:hAnsi="Times New Roman" w:cs="Times New Roman"/>
          <w:b/>
          <w:bCs/>
          <w:lang w:val="en-GB"/>
        </w:rPr>
      </w:pPr>
    </w:p>
    <w:p w14:paraId="76B68019" w14:textId="77777777" w:rsidR="00EB6E1C" w:rsidRPr="00EB6E1C" w:rsidRDefault="00EB6E1C" w:rsidP="00EB6E1C">
      <w:pPr>
        <w:rPr>
          <w:rFonts w:ascii="Times New Roman" w:hAnsi="Times New Roman" w:cs="Times New Roman"/>
          <w:b/>
          <w:bCs/>
          <w:lang w:val="en-GB"/>
        </w:rPr>
      </w:pPr>
    </w:p>
    <w:p w14:paraId="5B7A660F" w14:textId="77777777" w:rsidR="00EB6E1C" w:rsidRPr="00EB6E1C" w:rsidRDefault="00EB6E1C" w:rsidP="00EB6E1C">
      <w:pPr>
        <w:rPr>
          <w:rFonts w:ascii="Times New Roman" w:hAnsi="Times New Roman" w:cs="Times New Roman"/>
          <w:b/>
          <w:bCs/>
          <w:lang w:val="en-GB"/>
        </w:rPr>
      </w:pPr>
    </w:p>
    <w:p w14:paraId="7ABD1081" w14:textId="77777777" w:rsidR="00EB6E1C" w:rsidRPr="00EB6E1C" w:rsidRDefault="00EB6E1C" w:rsidP="00EB6E1C">
      <w:pPr>
        <w:rPr>
          <w:rFonts w:ascii="Times New Roman" w:hAnsi="Times New Roman" w:cs="Times New Roman"/>
          <w:b/>
          <w:bCs/>
          <w:lang w:val="en-GB"/>
        </w:rPr>
      </w:pPr>
    </w:p>
    <w:p w14:paraId="032BF325" w14:textId="77777777" w:rsidR="00EB6E1C" w:rsidRPr="00EB6E1C" w:rsidRDefault="00EB6E1C" w:rsidP="00EB6E1C">
      <w:pPr>
        <w:rPr>
          <w:rFonts w:ascii="Times New Roman" w:hAnsi="Times New Roman" w:cs="Times New Roman"/>
          <w:b/>
          <w:bCs/>
          <w:lang w:val="en-GB"/>
        </w:rPr>
      </w:pPr>
      <w:r w:rsidRPr="00EB6E1C">
        <w:rPr>
          <w:rFonts w:ascii="Times New Roman" w:hAnsi="Times New Roman" w:cs="Times New Roman"/>
          <w:b/>
          <w:bCs/>
          <w:lang w:val="en-GB"/>
        </w:rPr>
        <w:t>2. Relationship Between Planning, Implementation, and Monitoring in Heritage Management Systems</w:t>
      </w:r>
    </w:p>
    <w:p w14:paraId="24F8C289" w14:textId="77777777" w:rsidR="00EB6E1C" w:rsidRPr="00EB6E1C" w:rsidRDefault="00EB6E1C" w:rsidP="00EB6E1C">
      <w:pPr>
        <w:rPr>
          <w:rFonts w:ascii="Times New Roman" w:hAnsi="Times New Roman" w:cs="Times New Roman"/>
          <w:b/>
          <w:bCs/>
          <w:lang w:val="en-GB"/>
        </w:rPr>
      </w:pPr>
    </w:p>
    <w:p w14:paraId="481B9414"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lastRenderedPageBreak/>
        <w:t>Planning, implementation, and monitoring are closely linked processes that form the basis of effective heritage management systems. Together, they create a continuous cycle that supports the conservation and sustainable use of heritage resources.</w:t>
      </w:r>
    </w:p>
    <w:p w14:paraId="650CA19A"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Planning is the first stage of the management process. It involves identifying the significance of a heritage site, assessing threats, and developing policies and strategies for conservation. Management plans often include objectives related to tourism, environmental protection, risk management, funding, and community involvement (Matero, 2008). Proper planning ensures that heritage values are clearly understood and protected through organized actions.</w:t>
      </w:r>
    </w:p>
    <w:p w14:paraId="30A075BA"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Implementation refers to putting these plans into practice. This includes conservation projects, restoration activities, visitor management, legal regulation, educational programs, and stakeholder cooperation. Successful implementation depends on adequate resources, institutional coordination, and active participation from local communities and authorities (</w:t>
      </w:r>
      <w:proofErr w:type="spellStart"/>
      <w:r w:rsidRPr="00EB6E1C">
        <w:rPr>
          <w:rFonts w:ascii="Times New Roman" w:hAnsi="Times New Roman" w:cs="Times New Roman"/>
          <w:lang w:val="en-GB"/>
        </w:rPr>
        <w:t>Avrami</w:t>
      </w:r>
      <w:proofErr w:type="spellEnd"/>
      <w:r w:rsidRPr="00EB6E1C">
        <w:rPr>
          <w:rFonts w:ascii="Times New Roman" w:hAnsi="Times New Roman" w:cs="Times New Roman"/>
          <w:lang w:val="en-GB"/>
        </w:rPr>
        <w:t>, Mason, &amp; de la Torre, 2000). Without effective implementation, management plans cannot achieve their intended goals.</w:t>
      </w:r>
    </w:p>
    <w:p w14:paraId="16D11FD0"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Monitoring is the process of evaluating the effectiveness of implemented actions. It involves observing changes in the condition of heritage sites, identifying risks, and measuring whether management objectives are being achieved. Monitoring can include physical inspections, environmental assessments, visitor impact studies, and reporting systems (Darvill, 2005). The information collected through monitoring helps managers identify emerging threats and improve management strategies.</w:t>
      </w:r>
    </w:p>
    <w:p w14:paraId="6FBE2DB9"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The relationship between planning, implementation, and monitoring is cyclical and interdependent. Planning provides the framework for action, implementation applies the planned strategies, and monitoring evaluates the outcomes. The results of monitoring then inform future planning and decision-making. For example, if monitoring reveals deterioration caused by excessive tourism, planners may revise visitor policies or introduce stricter conservation measures.</w:t>
      </w:r>
    </w:p>
    <w:p w14:paraId="6DED1721" w14:textId="77777777" w:rsidR="00EB6E1C" w:rsidRPr="00EB6E1C" w:rsidRDefault="00EB6E1C" w:rsidP="00EB6E1C">
      <w:pPr>
        <w:rPr>
          <w:rFonts w:ascii="Times New Roman" w:hAnsi="Times New Roman" w:cs="Times New Roman"/>
          <w:lang w:val="en-GB"/>
        </w:rPr>
      </w:pPr>
      <w:r w:rsidRPr="00EB6E1C">
        <w:rPr>
          <w:rFonts w:ascii="Times New Roman" w:hAnsi="Times New Roman" w:cs="Times New Roman"/>
          <w:lang w:val="en-GB"/>
        </w:rPr>
        <w:t>This integrated process is often referred to as adaptive management because it allows heritage systems to respond to changing environmental, social, and economic conditions. Effective heritage management therefore depends on the coordination of all three components to maintain the authenticity, integrity, and cultural significance of heritage properties.</w:t>
      </w:r>
    </w:p>
    <w:p w14:paraId="3B9D2FD2" w14:textId="307B6AEE" w:rsidR="00EB6E1C" w:rsidRPr="00EB6E1C" w:rsidRDefault="00EB6E1C" w:rsidP="00EB6E1C">
      <w:pPr>
        <w:rPr>
          <w:rFonts w:ascii="Times New Roman" w:hAnsi="Times New Roman" w:cs="Times New Roman"/>
          <w:b/>
          <w:bCs/>
          <w:lang w:val="en-GB"/>
        </w:rPr>
      </w:pPr>
    </w:p>
    <w:p w14:paraId="7444A076" w14:textId="77777777" w:rsidR="00EB6E1C" w:rsidRPr="00EB6E1C" w:rsidRDefault="00EB6E1C" w:rsidP="00EB6E1C">
      <w:pPr>
        <w:rPr>
          <w:rFonts w:ascii="Times New Roman" w:hAnsi="Times New Roman" w:cs="Times New Roman"/>
          <w:b/>
          <w:bCs/>
          <w:lang w:val="en-GB"/>
        </w:rPr>
      </w:pPr>
    </w:p>
    <w:p w14:paraId="5384C180" w14:textId="77777777" w:rsidR="00EB6E1C" w:rsidRPr="00EB6E1C" w:rsidRDefault="00EB6E1C" w:rsidP="00EB6E1C">
      <w:pPr>
        <w:rPr>
          <w:rFonts w:ascii="Times New Roman" w:hAnsi="Times New Roman" w:cs="Times New Roman"/>
          <w:b/>
          <w:bCs/>
          <w:lang w:val="en-GB"/>
        </w:rPr>
      </w:pPr>
    </w:p>
    <w:p w14:paraId="4C4EE4A6" w14:textId="77777777" w:rsidR="00EB6E1C" w:rsidRPr="00EB6E1C" w:rsidRDefault="00EB6E1C" w:rsidP="00EB6E1C">
      <w:pPr>
        <w:rPr>
          <w:rFonts w:ascii="Times New Roman" w:hAnsi="Times New Roman" w:cs="Times New Roman"/>
          <w:b/>
          <w:bCs/>
          <w:lang w:val="en-GB"/>
        </w:rPr>
      </w:pPr>
    </w:p>
    <w:p w14:paraId="53A56A43" w14:textId="77777777" w:rsidR="00EB6E1C" w:rsidRPr="00EB6E1C" w:rsidRDefault="00EB6E1C" w:rsidP="00EB6E1C">
      <w:pPr>
        <w:rPr>
          <w:rFonts w:ascii="Times New Roman" w:hAnsi="Times New Roman" w:cs="Times New Roman"/>
          <w:b/>
          <w:bCs/>
          <w:lang w:val="en-GB"/>
        </w:rPr>
      </w:pPr>
    </w:p>
    <w:p w14:paraId="3B9DD607" w14:textId="77777777" w:rsidR="00EB6E1C" w:rsidRPr="00EB6E1C" w:rsidRDefault="00EB6E1C" w:rsidP="00EB6E1C">
      <w:pPr>
        <w:rPr>
          <w:rFonts w:ascii="Times New Roman" w:hAnsi="Times New Roman" w:cs="Times New Roman"/>
          <w:b/>
          <w:bCs/>
          <w:lang w:val="en-GB"/>
        </w:rPr>
      </w:pPr>
    </w:p>
    <w:p w14:paraId="7F95F101" w14:textId="77777777" w:rsidR="00EB6E1C" w:rsidRPr="00EB6E1C" w:rsidRDefault="00EB6E1C" w:rsidP="00EB6E1C">
      <w:pPr>
        <w:rPr>
          <w:rFonts w:ascii="Times New Roman" w:hAnsi="Times New Roman" w:cs="Times New Roman"/>
          <w:b/>
          <w:bCs/>
          <w:lang w:val="en-GB"/>
        </w:rPr>
      </w:pPr>
    </w:p>
    <w:p w14:paraId="0E01585C" w14:textId="77777777" w:rsidR="00EB6E1C" w:rsidRPr="00EB6E1C" w:rsidRDefault="00EB6E1C" w:rsidP="00EB6E1C">
      <w:pPr>
        <w:rPr>
          <w:rFonts w:ascii="Times New Roman" w:hAnsi="Times New Roman" w:cs="Times New Roman"/>
          <w:b/>
          <w:bCs/>
          <w:lang w:val="en-GB"/>
        </w:rPr>
      </w:pPr>
    </w:p>
    <w:p w14:paraId="070B8F6E" w14:textId="77777777" w:rsidR="00EB6E1C" w:rsidRPr="00EB6E1C" w:rsidRDefault="00EB6E1C" w:rsidP="00EB6E1C">
      <w:pPr>
        <w:rPr>
          <w:rFonts w:ascii="Times New Roman" w:hAnsi="Times New Roman" w:cs="Times New Roman"/>
          <w:b/>
          <w:bCs/>
          <w:lang w:val="en-GB"/>
        </w:rPr>
      </w:pPr>
    </w:p>
    <w:p w14:paraId="0A46E0A6" w14:textId="77777777" w:rsidR="00EB6E1C" w:rsidRPr="00EB6E1C" w:rsidRDefault="00EB6E1C" w:rsidP="00EB6E1C">
      <w:pPr>
        <w:rPr>
          <w:rFonts w:ascii="Times New Roman" w:hAnsi="Times New Roman" w:cs="Times New Roman"/>
          <w:b/>
          <w:bCs/>
          <w:lang w:val="en-GB"/>
        </w:rPr>
      </w:pPr>
    </w:p>
    <w:p w14:paraId="11C5A487" w14:textId="77777777" w:rsidR="00EB6E1C" w:rsidRPr="00EB6E1C" w:rsidRDefault="00EB6E1C" w:rsidP="00EB6E1C">
      <w:pPr>
        <w:rPr>
          <w:rFonts w:ascii="Times New Roman" w:hAnsi="Times New Roman" w:cs="Times New Roman"/>
          <w:b/>
          <w:bCs/>
          <w:lang w:val="en-GB"/>
        </w:rPr>
      </w:pPr>
    </w:p>
    <w:p w14:paraId="15B54295" w14:textId="77777777" w:rsidR="00EB6E1C" w:rsidRPr="00EB6E1C" w:rsidRDefault="00EB6E1C" w:rsidP="00EB6E1C">
      <w:pPr>
        <w:rPr>
          <w:rFonts w:ascii="Times New Roman" w:hAnsi="Times New Roman" w:cs="Times New Roman"/>
          <w:b/>
          <w:bCs/>
          <w:lang w:val="en-GB"/>
        </w:rPr>
      </w:pPr>
    </w:p>
    <w:p w14:paraId="481464E6" w14:textId="77777777" w:rsidR="00EB6E1C" w:rsidRPr="00EB6E1C" w:rsidRDefault="00EB6E1C" w:rsidP="00EB6E1C">
      <w:pPr>
        <w:rPr>
          <w:rFonts w:ascii="Times New Roman" w:hAnsi="Times New Roman" w:cs="Times New Roman"/>
          <w:b/>
          <w:bCs/>
          <w:lang w:val="en-GB"/>
        </w:rPr>
      </w:pPr>
    </w:p>
    <w:p w14:paraId="4342C433" w14:textId="77777777" w:rsidR="00EB6E1C" w:rsidRPr="00EB6E1C" w:rsidRDefault="00EB6E1C" w:rsidP="00EB6E1C">
      <w:pPr>
        <w:rPr>
          <w:rFonts w:ascii="Times New Roman" w:hAnsi="Times New Roman" w:cs="Times New Roman"/>
          <w:b/>
          <w:bCs/>
          <w:lang w:val="en-GB"/>
        </w:rPr>
      </w:pPr>
    </w:p>
    <w:p w14:paraId="52803066" w14:textId="77777777" w:rsidR="00EB6E1C" w:rsidRPr="00EB6E1C" w:rsidRDefault="00EB6E1C" w:rsidP="00EB6E1C">
      <w:pPr>
        <w:rPr>
          <w:rFonts w:ascii="Times New Roman" w:hAnsi="Times New Roman" w:cs="Times New Roman"/>
          <w:b/>
          <w:bCs/>
          <w:lang w:val="en-GB"/>
        </w:rPr>
      </w:pPr>
    </w:p>
    <w:p w14:paraId="5A6F7989" w14:textId="77777777" w:rsidR="00EB6E1C" w:rsidRPr="00EB6E1C" w:rsidRDefault="00EB6E1C" w:rsidP="00EB6E1C">
      <w:pPr>
        <w:rPr>
          <w:rFonts w:ascii="Times New Roman" w:hAnsi="Times New Roman" w:cs="Times New Roman"/>
          <w:b/>
          <w:bCs/>
          <w:lang w:val="en-GB"/>
        </w:rPr>
      </w:pPr>
    </w:p>
    <w:p w14:paraId="027C4E35" w14:textId="77777777" w:rsidR="00EB6E1C" w:rsidRPr="00EB6E1C" w:rsidRDefault="00EB6E1C" w:rsidP="00EB6E1C">
      <w:pPr>
        <w:rPr>
          <w:rFonts w:ascii="Times New Roman" w:hAnsi="Times New Roman" w:cs="Times New Roman"/>
          <w:b/>
          <w:bCs/>
          <w:lang w:val="en-GB"/>
        </w:rPr>
      </w:pPr>
    </w:p>
    <w:p w14:paraId="6B0D8DAD" w14:textId="77777777" w:rsidR="00EB6E1C" w:rsidRPr="00EB6E1C" w:rsidRDefault="00EB6E1C" w:rsidP="00EB6E1C">
      <w:pPr>
        <w:rPr>
          <w:rFonts w:ascii="Times New Roman" w:hAnsi="Times New Roman" w:cs="Times New Roman"/>
          <w:b/>
          <w:bCs/>
          <w:lang w:val="en-GB"/>
        </w:rPr>
      </w:pPr>
    </w:p>
    <w:p w14:paraId="7C6C0886" w14:textId="77777777" w:rsidR="00EB6E1C" w:rsidRPr="00EB6E1C" w:rsidRDefault="00EB6E1C" w:rsidP="00EB6E1C">
      <w:pPr>
        <w:rPr>
          <w:rFonts w:ascii="Times New Roman" w:hAnsi="Times New Roman" w:cs="Times New Roman"/>
          <w:b/>
          <w:bCs/>
          <w:lang w:val="en-GB"/>
        </w:rPr>
      </w:pPr>
    </w:p>
    <w:p w14:paraId="1840553F" w14:textId="77777777" w:rsidR="00EB6E1C" w:rsidRPr="00EB6E1C" w:rsidRDefault="00EB6E1C" w:rsidP="00EB6E1C">
      <w:pPr>
        <w:rPr>
          <w:rFonts w:ascii="Times New Roman" w:hAnsi="Times New Roman" w:cs="Times New Roman"/>
          <w:b/>
          <w:bCs/>
          <w:lang w:val="en-GB"/>
        </w:rPr>
      </w:pPr>
      <w:r w:rsidRPr="00EB6E1C">
        <w:rPr>
          <w:rFonts w:ascii="Times New Roman" w:hAnsi="Times New Roman" w:cs="Times New Roman"/>
          <w:b/>
          <w:bCs/>
          <w:lang w:val="en-GB"/>
        </w:rPr>
        <w:t>References</w:t>
      </w:r>
    </w:p>
    <w:p w14:paraId="4A4FAE11" w14:textId="77777777" w:rsidR="00EB6E1C" w:rsidRPr="00EB6E1C" w:rsidRDefault="00EB6E1C" w:rsidP="00EB6E1C">
      <w:pPr>
        <w:rPr>
          <w:rFonts w:ascii="Times New Roman" w:hAnsi="Times New Roman" w:cs="Times New Roman"/>
          <w:b/>
          <w:bCs/>
          <w:lang w:val="en-GB"/>
        </w:rPr>
      </w:pPr>
    </w:p>
    <w:p w14:paraId="3692B9D7" w14:textId="77777777" w:rsidR="00EB6E1C" w:rsidRPr="00EB6E1C" w:rsidRDefault="00EB6E1C" w:rsidP="00EB6E1C">
      <w:pPr>
        <w:rPr>
          <w:rFonts w:ascii="Times New Roman" w:hAnsi="Times New Roman" w:cs="Times New Roman"/>
          <w:b/>
          <w:bCs/>
          <w:lang w:val="en-GB"/>
        </w:rPr>
      </w:pPr>
    </w:p>
    <w:p w14:paraId="77131013" w14:textId="77777777" w:rsidR="00EB6E1C" w:rsidRPr="00EB6E1C" w:rsidRDefault="00EB6E1C" w:rsidP="00EB6E1C">
      <w:pPr>
        <w:numPr>
          <w:ilvl w:val="0"/>
          <w:numId w:val="2"/>
        </w:numPr>
        <w:rPr>
          <w:rFonts w:ascii="Times New Roman" w:hAnsi="Times New Roman" w:cs="Times New Roman"/>
          <w:lang w:val="en-GB"/>
        </w:rPr>
      </w:pPr>
      <w:proofErr w:type="spellStart"/>
      <w:r w:rsidRPr="00EB6E1C">
        <w:rPr>
          <w:rFonts w:ascii="Times New Roman" w:hAnsi="Times New Roman" w:cs="Times New Roman"/>
          <w:lang w:val="en-GB"/>
        </w:rPr>
        <w:t>Avrami</w:t>
      </w:r>
      <w:proofErr w:type="spellEnd"/>
      <w:r w:rsidRPr="00EB6E1C">
        <w:rPr>
          <w:rFonts w:ascii="Times New Roman" w:hAnsi="Times New Roman" w:cs="Times New Roman"/>
          <w:lang w:val="en-GB"/>
        </w:rPr>
        <w:t xml:space="preserve">, E., Mason, R., &amp; de la Torre, M. (2000). </w:t>
      </w:r>
      <w:r w:rsidRPr="00EB6E1C">
        <w:rPr>
          <w:rFonts w:ascii="Times New Roman" w:hAnsi="Times New Roman" w:cs="Times New Roman"/>
          <w:i/>
          <w:iCs/>
          <w:lang w:val="en-GB"/>
        </w:rPr>
        <w:t>Values and Heritage Conservation</w:t>
      </w:r>
      <w:r w:rsidRPr="00EB6E1C">
        <w:rPr>
          <w:rFonts w:ascii="Times New Roman" w:hAnsi="Times New Roman" w:cs="Times New Roman"/>
          <w:lang w:val="en-GB"/>
        </w:rPr>
        <w:t>. Getty Conservation Institute.</w:t>
      </w:r>
    </w:p>
    <w:p w14:paraId="315C9FF7" w14:textId="77777777" w:rsidR="00EB6E1C" w:rsidRPr="00EB6E1C" w:rsidRDefault="00EB6E1C" w:rsidP="00EB6E1C">
      <w:pPr>
        <w:numPr>
          <w:ilvl w:val="0"/>
          <w:numId w:val="2"/>
        </w:numPr>
        <w:rPr>
          <w:rFonts w:ascii="Times New Roman" w:hAnsi="Times New Roman" w:cs="Times New Roman"/>
          <w:lang w:val="en-GB"/>
        </w:rPr>
      </w:pPr>
      <w:proofErr w:type="spellStart"/>
      <w:r w:rsidRPr="00EB6E1C">
        <w:rPr>
          <w:rFonts w:ascii="Times New Roman" w:hAnsi="Times New Roman" w:cs="Times New Roman"/>
          <w:lang w:val="en-GB"/>
        </w:rPr>
        <w:t>Bandarin</w:t>
      </w:r>
      <w:proofErr w:type="spellEnd"/>
      <w:r w:rsidRPr="00EB6E1C">
        <w:rPr>
          <w:rFonts w:ascii="Times New Roman" w:hAnsi="Times New Roman" w:cs="Times New Roman"/>
          <w:lang w:val="en-GB"/>
        </w:rPr>
        <w:t xml:space="preserve">, F., &amp; van </w:t>
      </w:r>
      <w:proofErr w:type="spellStart"/>
      <w:r w:rsidRPr="00EB6E1C">
        <w:rPr>
          <w:rFonts w:ascii="Times New Roman" w:hAnsi="Times New Roman" w:cs="Times New Roman"/>
          <w:lang w:val="en-GB"/>
        </w:rPr>
        <w:t>Oers</w:t>
      </w:r>
      <w:proofErr w:type="spellEnd"/>
      <w:r w:rsidRPr="00EB6E1C">
        <w:rPr>
          <w:rFonts w:ascii="Times New Roman" w:hAnsi="Times New Roman" w:cs="Times New Roman"/>
          <w:lang w:val="en-GB"/>
        </w:rPr>
        <w:t xml:space="preserve">, R. (2012). </w:t>
      </w:r>
      <w:r w:rsidRPr="00EB6E1C">
        <w:rPr>
          <w:rFonts w:ascii="Times New Roman" w:hAnsi="Times New Roman" w:cs="Times New Roman"/>
          <w:i/>
          <w:iCs/>
          <w:lang w:val="en-GB"/>
        </w:rPr>
        <w:t>The Historic Urban Landscape: Managing Heritage in an Urban Century</w:t>
      </w:r>
      <w:r w:rsidRPr="00EB6E1C">
        <w:rPr>
          <w:rFonts w:ascii="Times New Roman" w:hAnsi="Times New Roman" w:cs="Times New Roman"/>
          <w:lang w:val="en-GB"/>
        </w:rPr>
        <w:t xml:space="preserve">. Wiley-Blackwell. </w:t>
      </w:r>
      <w:hyperlink r:id="rId6" w:tgtFrame="_new" w:history="1">
        <w:r w:rsidRPr="00EB6E1C">
          <w:rPr>
            <w:rStyle w:val="Hyperlink"/>
            <w:rFonts w:ascii="Times New Roman" w:hAnsi="Times New Roman" w:cs="Times New Roman"/>
            <w:lang w:val="en-GB"/>
          </w:rPr>
          <w:t>https://doi.org/10.1002/9781119968115</w:t>
        </w:r>
      </w:hyperlink>
    </w:p>
    <w:p w14:paraId="49719255" w14:textId="77777777" w:rsidR="00EB6E1C" w:rsidRPr="00EB6E1C" w:rsidRDefault="00EB6E1C" w:rsidP="00EB6E1C">
      <w:pPr>
        <w:numPr>
          <w:ilvl w:val="0"/>
          <w:numId w:val="2"/>
        </w:numPr>
        <w:rPr>
          <w:rFonts w:ascii="Times New Roman" w:hAnsi="Times New Roman" w:cs="Times New Roman"/>
          <w:lang w:val="en-GB"/>
        </w:rPr>
      </w:pPr>
      <w:r w:rsidRPr="00EB6E1C">
        <w:rPr>
          <w:rFonts w:ascii="Times New Roman" w:hAnsi="Times New Roman" w:cs="Times New Roman"/>
          <w:lang w:val="en-GB"/>
        </w:rPr>
        <w:t xml:space="preserve">Darvill, T. (2005). Value systems in archaeology. In M. de la Torre (Ed.), </w:t>
      </w:r>
      <w:r w:rsidRPr="00EB6E1C">
        <w:rPr>
          <w:rFonts w:ascii="Times New Roman" w:hAnsi="Times New Roman" w:cs="Times New Roman"/>
          <w:i/>
          <w:iCs/>
          <w:lang w:val="en-GB"/>
        </w:rPr>
        <w:t>Heritage Values in Site Management</w:t>
      </w:r>
      <w:r w:rsidRPr="00EB6E1C">
        <w:rPr>
          <w:rFonts w:ascii="Times New Roman" w:hAnsi="Times New Roman" w:cs="Times New Roman"/>
          <w:lang w:val="en-GB"/>
        </w:rPr>
        <w:t xml:space="preserve"> (pp. 37–46). Getty Conservation Institute.</w:t>
      </w:r>
    </w:p>
    <w:p w14:paraId="2507AB49" w14:textId="77777777" w:rsidR="00EB6E1C" w:rsidRPr="00EB6E1C" w:rsidRDefault="00EB6E1C" w:rsidP="00EB6E1C">
      <w:pPr>
        <w:numPr>
          <w:ilvl w:val="0"/>
          <w:numId w:val="2"/>
        </w:numPr>
        <w:rPr>
          <w:rFonts w:ascii="Times New Roman" w:hAnsi="Times New Roman" w:cs="Times New Roman"/>
          <w:lang w:val="en-GB"/>
        </w:rPr>
      </w:pPr>
      <w:r w:rsidRPr="00EB6E1C">
        <w:rPr>
          <w:rFonts w:ascii="Times New Roman" w:hAnsi="Times New Roman" w:cs="Times New Roman"/>
          <w:lang w:val="en-GB"/>
        </w:rPr>
        <w:t xml:space="preserve">Logan, W. (2012). Cultural diversity, cultural heritage and human rights: Towards heritage management as human rights-based cultural practice. </w:t>
      </w:r>
      <w:r w:rsidRPr="00EB6E1C">
        <w:rPr>
          <w:rFonts w:ascii="Times New Roman" w:hAnsi="Times New Roman" w:cs="Times New Roman"/>
          <w:i/>
          <w:iCs/>
          <w:lang w:val="en-GB"/>
        </w:rPr>
        <w:t>International Journal of Heritage Studies, 18</w:t>
      </w:r>
      <w:r w:rsidRPr="00EB6E1C">
        <w:rPr>
          <w:rFonts w:ascii="Times New Roman" w:hAnsi="Times New Roman" w:cs="Times New Roman"/>
          <w:lang w:val="en-GB"/>
        </w:rPr>
        <w:t xml:space="preserve">(3), 231–244. </w:t>
      </w:r>
      <w:hyperlink r:id="rId7" w:tgtFrame="_new" w:history="1">
        <w:r w:rsidRPr="00EB6E1C">
          <w:rPr>
            <w:rStyle w:val="Hyperlink"/>
            <w:rFonts w:ascii="Times New Roman" w:hAnsi="Times New Roman" w:cs="Times New Roman"/>
            <w:lang w:val="en-GB"/>
          </w:rPr>
          <w:t>https://doi.org/10.1080/13527258.2011.637573</w:t>
        </w:r>
      </w:hyperlink>
    </w:p>
    <w:p w14:paraId="3242D248" w14:textId="77777777" w:rsidR="00EB6E1C" w:rsidRPr="00EB6E1C" w:rsidRDefault="00EB6E1C" w:rsidP="00EB6E1C">
      <w:pPr>
        <w:numPr>
          <w:ilvl w:val="0"/>
          <w:numId w:val="2"/>
        </w:numPr>
        <w:rPr>
          <w:rFonts w:ascii="Times New Roman" w:hAnsi="Times New Roman" w:cs="Times New Roman"/>
          <w:lang w:val="en-GB"/>
        </w:rPr>
      </w:pPr>
      <w:r w:rsidRPr="00EB6E1C">
        <w:rPr>
          <w:rFonts w:ascii="Times New Roman" w:hAnsi="Times New Roman" w:cs="Times New Roman"/>
          <w:lang w:val="en-GB"/>
        </w:rPr>
        <w:t xml:space="preserve">Matero, F. G. (2008). Heritage, conservation, and archaeology: An introduction. </w:t>
      </w:r>
      <w:r w:rsidRPr="00EB6E1C">
        <w:rPr>
          <w:rFonts w:ascii="Times New Roman" w:hAnsi="Times New Roman" w:cs="Times New Roman"/>
          <w:i/>
          <w:iCs/>
          <w:lang w:val="en-GB"/>
        </w:rPr>
        <w:t>Conservation and Management of Archaeological Sites, 10</w:t>
      </w:r>
      <w:r w:rsidRPr="00EB6E1C">
        <w:rPr>
          <w:rFonts w:ascii="Times New Roman" w:hAnsi="Times New Roman" w:cs="Times New Roman"/>
          <w:lang w:val="en-GB"/>
        </w:rPr>
        <w:t>(1), 1–4. https://doi.org/10.1179/175355208X278314</w:t>
      </w:r>
    </w:p>
    <w:p w14:paraId="4889E7ED" w14:textId="77777777" w:rsidR="00EB6E1C" w:rsidRPr="00EB6E1C" w:rsidRDefault="00EB6E1C" w:rsidP="00EB6E1C">
      <w:pPr>
        <w:numPr>
          <w:ilvl w:val="0"/>
          <w:numId w:val="2"/>
        </w:numPr>
        <w:rPr>
          <w:rFonts w:ascii="Times New Roman" w:hAnsi="Times New Roman" w:cs="Times New Roman"/>
          <w:lang w:val="en-GB"/>
        </w:rPr>
      </w:pPr>
      <w:r w:rsidRPr="00EB6E1C">
        <w:rPr>
          <w:rFonts w:ascii="Times New Roman" w:hAnsi="Times New Roman" w:cs="Times New Roman"/>
          <w:lang w:val="en-GB"/>
        </w:rPr>
        <w:t xml:space="preserve">Meskell, L. (2018). </w:t>
      </w:r>
      <w:r w:rsidRPr="00EB6E1C">
        <w:rPr>
          <w:rFonts w:ascii="Times New Roman" w:hAnsi="Times New Roman" w:cs="Times New Roman"/>
          <w:i/>
          <w:iCs/>
          <w:lang w:val="en-GB"/>
        </w:rPr>
        <w:t>A Future in Ruins: UNESCO, World Heritage, and the Dream of Peace</w:t>
      </w:r>
      <w:r w:rsidRPr="00EB6E1C">
        <w:rPr>
          <w:rFonts w:ascii="Times New Roman" w:hAnsi="Times New Roman" w:cs="Times New Roman"/>
          <w:lang w:val="en-GB"/>
        </w:rPr>
        <w:t>. Oxford University Press. https://doi.org/10.1093/oso/9780190648343.001.0001</w:t>
      </w:r>
    </w:p>
    <w:p w14:paraId="6D934BC8" w14:textId="77777777" w:rsidR="00EB6E1C" w:rsidRPr="00EB6E1C" w:rsidRDefault="00EB6E1C" w:rsidP="00EB6E1C">
      <w:pPr>
        <w:numPr>
          <w:ilvl w:val="0"/>
          <w:numId w:val="2"/>
        </w:numPr>
        <w:rPr>
          <w:rFonts w:ascii="Times New Roman" w:hAnsi="Times New Roman" w:cs="Times New Roman"/>
          <w:lang w:val="en-GB"/>
        </w:rPr>
      </w:pPr>
      <w:r w:rsidRPr="00EB6E1C">
        <w:rPr>
          <w:rFonts w:ascii="Times New Roman" w:hAnsi="Times New Roman" w:cs="Times New Roman"/>
          <w:lang w:val="en-GB"/>
        </w:rPr>
        <w:t xml:space="preserve">UNESCO World Heritage Centre. (2019). </w:t>
      </w:r>
      <w:r w:rsidRPr="00EB6E1C">
        <w:rPr>
          <w:rFonts w:ascii="Times New Roman" w:hAnsi="Times New Roman" w:cs="Times New Roman"/>
          <w:i/>
          <w:iCs/>
          <w:lang w:val="en-GB"/>
        </w:rPr>
        <w:t>Operational Guidelines for the Implementation of the World Heritage Convention</w:t>
      </w:r>
      <w:r w:rsidRPr="00EB6E1C">
        <w:rPr>
          <w:rFonts w:ascii="Times New Roman" w:hAnsi="Times New Roman" w:cs="Times New Roman"/>
          <w:lang w:val="en-GB"/>
        </w:rPr>
        <w:t xml:space="preserve">. UNESCO. </w:t>
      </w:r>
      <w:hyperlink r:id="rId8" w:tgtFrame="_new" w:history="1">
        <w:r w:rsidRPr="00EB6E1C">
          <w:rPr>
            <w:rStyle w:val="Hyperlink"/>
            <w:rFonts w:ascii="Times New Roman" w:hAnsi="Times New Roman" w:cs="Times New Roman"/>
            <w:lang w:val="en-GB"/>
          </w:rPr>
          <w:t>https://whc.unesco.org/en/guidelines/</w:t>
        </w:r>
      </w:hyperlink>
    </w:p>
    <w:p w14:paraId="591F43E9" w14:textId="77777777" w:rsidR="0056617A" w:rsidRPr="00EB6E1C" w:rsidRDefault="0056617A" w:rsidP="00EB6E1C">
      <w:pPr>
        <w:rPr>
          <w:rFonts w:ascii="Times New Roman" w:hAnsi="Times New Roman" w:cs="Times New Roman"/>
          <w:lang w:val="en-US"/>
        </w:rPr>
      </w:pPr>
    </w:p>
    <w:sectPr w:rsidR="0056617A" w:rsidRPr="00EB6E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104A32"/>
    <w:rsid w:val="0056617A"/>
    <w:rsid w:val="00DF741F"/>
    <w:rsid w:val="00EB6E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guidelines/" TargetMode="External"/><Relationship Id="rId3" Type="http://schemas.openxmlformats.org/officeDocument/2006/relationships/settings" Target="settings.xml"/><Relationship Id="rId7" Type="http://schemas.openxmlformats.org/officeDocument/2006/relationships/hyperlink" Target="https://doi.org/10.1080/13527258.2011.6375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2/978111996811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1037</Words>
  <Characters>5917</Characters>
  <Application>Microsoft Office Word</Application>
  <DocSecurity>0</DocSecurity>
  <Lines>49</Lines>
  <Paragraphs>13</Paragraphs>
  <ScaleCrop>false</ScaleCrop>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2026-05-17T13:15:00Z</dcterms:created>
  <dcterms:modified xsi:type="dcterms:W3CDTF">2026-05-17T13:15:00Z</dcterms:modified>
</cp:coreProperties>
</file>