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E4D49" w14:textId="77777777" w:rsidR="00FC078F" w:rsidRDefault="00000000">
      <w:pPr>
        <w:jc w:val="center"/>
      </w:pPr>
      <w:r>
        <w:t>M22 Cultural Heritage Management</w:t>
      </w:r>
    </w:p>
    <w:p w14:paraId="50D797F9" w14:textId="77777777" w:rsidR="00FC078F" w:rsidRDefault="00FC078F"/>
    <w:p w14:paraId="79EE1CF8" w14:textId="77777777" w:rsidR="00FC078F" w:rsidRDefault="00000000">
      <w:pPr>
        <w:jc w:val="center"/>
      </w:pPr>
      <w:r>
        <w:rPr>
          <w:b/>
          <w:sz w:val="32"/>
        </w:rPr>
        <w:t>Intangible Cultural Heritage and Community Participation: Safeguarding Living Traditions for Future Generations</w:t>
      </w:r>
    </w:p>
    <w:p w14:paraId="3EDA5D6A" w14:textId="77777777" w:rsidR="00FC078F" w:rsidRDefault="00FC078F"/>
    <w:p w14:paraId="5A3E8725" w14:textId="77777777" w:rsidR="00FC078F" w:rsidRDefault="00000000">
      <w:pPr>
        <w:jc w:val="center"/>
      </w:pPr>
      <w:r>
        <w:t>Option 2</w:t>
      </w:r>
    </w:p>
    <w:p w14:paraId="2BD375E7" w14:textId="77777777" w:rsidR="00FC078F" w:rsidRDefault="00000000">
      <w:pPr>
        <w:jc w:val="center"/>
      </w:pPr>
      <w:r>
        <w:t>Detailed Project Report</w:t>
      </w:r>
    </w:p>
    <w:p w14:paraId="6A5EE220" w14:textId="77777777" w:rsidR="00FC078F" w:rsidRDefault="00000000">
      <w:pPr>
        <w:jc w:val="center"/>
      </w:pPr>
      <w:r>
        <w:t>Submission Deadline: 24 May 2026</w:t>
      </w:r>
    </w:p>
    <w:p w14:paraId="5515E334" w14:textId="77777777" w:rsidR="00FC078F" w:rsidRDefault="00FC078F"/>
    <w:p w14:paraId="43BA2C37" w14:textId="77777777" w:rsidR="00FC078F" w:rsidRDefault="00000000">
      <w:pPr>
        <w:jc w:val="center"/>
      </w:pPr>
      <w:r>
        <w:t>Prepared for: Cultural Heritage Management</w:t>
      </w:r>
    </w:p>
    <w:p w14:paraId="057561A6" w14:textId="77777777" w:rsidR="00FC078F" w:rsidRDefault="00000000">
      <w:r>
        <w:br w:type="page"/>
      </w:r>
    </w:p>
    <w:p w14:paraId="032FCADD" w14:textId="77777777" w:rsidR="00FC078F" w:rsidRDefault="00000000">
      <w:pPr>
        <w:pStyle w:val="Heading1"/>
      </w:pPr>
      <w:r>
        <w:rPr>
          <w:rFonts w:ascii="Times New Roman" w:eastAsia="Times New Roman" w:hAnsi="Times New Roman"/>
        </w:rPr>
        <w:lastRenderedPageBreak/>
        <w:t>Table of Contents</w:t>
      </w:r>
    </w:p>
    <w:p w14:paraId="5B86448B" w14:textId="77777777" w:rsidR="00FC078F" w:rsidRDefault="00000000">
      <w:r>
        <w:t>Abstract</w:t>
      </w:r>
    </w:p>
    <w:p w14:paraId="4900748B" w14:textId="77777777" w:rsidR="00FC078F" w:rsidRDefault="00000000">
      <w:r>
        <w:t>1. Introduction</w:t>
      </w:r>
    </w:p>
    <w:p w14:paraId="3183E67E" w14:textId="77777777" w:rsidR="00FC078F" w:rsidRDefault="00000000">
      <w:r>
        <w:t>2. Literature Review</w:t>
      </w:r>
    </w:p>
    <w:p w14:paraId="2C2E3C20" w14:textId="77777777" w:rsidR="00FC078F" w:rsidRDefault="00000000">
      <w:r>
        <w:t>3. Methodology</w:t>
      </w:r>
    </w:p>
    <w:p w14:paraId="04C574FD" w14:textId="77777777" w:rsidR="00FC078F" w:rsidRDefault="00000000">
      <w:r>
        <w:t>4. Findings</w:t>
      </w:r>
    </w:p>
    <w:p w14:paraId="2625CDD3" w14:textId="77777777" w:rsidR="00FC078F" w:rsidRDefault="00000000">
      <w:r>
        <w:t>5. Discussion</w:t>
      </w:r>
    </w:p>
    <w:p w14:paraId="1355EF2C" w14:textId="77777777" w:rsidR="00FC078F" w:rsidRDefault="00000000">
      <w:r>
        <w:t>6. Conclusion</w:t>
      </w:r>
    </w:p>
    <w:p w14:paraId="62C52474" w14:textId="77777777" w:rsidR="00FC078F" w:rsidRDefault="00000000">
      <w:r>
        <w:t>References</w:t>
      </w:r>
    </w:p>
    <w:p w14:paraId="40145C31" w14:textId="77777777" w:rsidR="00FC078F" w:rsidRDefault="00000000">
      <w:r>
        <w:t>Appendices</w:t>
      </w:r>
    </w:p>
    <w:p w14:paraId="6821ACC6" w14:textId="77777777" w:rsidR="00FC078F" w:rsidRDefault="00000000">
      <w:r>
        <w:br w:type="page"/>
      </w:r>
    </w:p>
    <w:p w14:paraId="6EEE1420" w14:textId="77777777" w:rsidR="00FC078F" w:rsidRDefault="00000000">
      <w:pPr>
        <w:pStyle w:val="Heading1"/>
      </w:pPr>
      <w:r>
        <w:rPr>
          <w:rFonts w:ascii="Times New Roman" w:eastAsia="Times New Roman" w:hAnsi="Times New Roman"/>
        </w:rPr>
        <w:lastRenderedPageBreak/>
        <w:t>Abstract</w:t>
      </w:r>
    </w:p>
    <w:p w14:paraId="3E86F48E" w14:textId="77777777" w:rsidR="00FC078F" w:rsidRDefault="00000000">
      <w:r>
        <w:t>Intangible cultural heritage refers to living traditions, knowledge, expressions and skills that communities recognise as part of their cultural identity. This report examines how intangible cultural heritage can be preserved through community participation and why safeguarding must focus on living transmission rather than simple documentation. Using a qualitative desk based methodology, the report reviews UNESCO's 2003 Convention, academic literature on living heritage and selected examples of rituals, festivals, performing arts, crafts and oral traditions. The findings show that communities are the primary bearers of intangible heritage because they practise, adapt, teach and authorise cultural meanings across generations. However, intangible heritage is threatened by globalisation, migration, commercialisation, language loss, changing livelihoods, weak apprenticeship systems and tourism based simplification. Safeguarding strategies must therefore combine community led documentation, intergenerational education, cultural spaces, fair economic support, digital archives, ethical tourism and legal protection against misuse. The discussion argues that preservation should not freeze traditions in an artificial past. It should enable communities to continue adapting their heritage while retaining control over meaning, representation and benefit. The report concludes that intangible cultural heritage is strongest when safeguarding is rights based, participatory and locally meaningful, with outside institutions acting as facilitators rather than owners of cultural traditions.</w:t>
      </w:r>
    </w:p>
    <w:p w14:paraId="5A60B8D6" w14:textId="77777777" w:rsidR="00FC078F" w:rsidRDefault="00000000">
      <w:pPr>
        <w:pStyle w:val="Heading1"/>
      </w:pPr>
      <w:r>
        <w:rPr>
          <w:rFonts w:ascii="Times New Roman" w:eastAsia="Times New Roman" w:hAnsi="Times New Roman"/>
        </w:rPr>
        <w:t>1. Introduction</w:t>
      </w:r>
    </w:p>
    <w:p w14:paraId="4B9FCDFF" w14:textId="77777777" w:rsidR="00FC078F" w:rsidRDefault="00000000">
      <w:r>
        <w:t xml:space="preserve">Intangible cultural heritage is the living dimension of culture. It includes oral traditions, performing arts, rituals, festive events, social practices, knowledge concerning nature and the universe, and traditional craftsmanship. Unlike monuments or artefacts, it cannot be protected </w:t>
      </w:r>
      <w:r>
        <w:lastRenderedPageBreak/>
        <w:t>only by repairing physical fabric or placing objects in museums. It survives because people continue to practise it, teach it, adapt it and recognise it as meaningful. The UNESCO Convention for the Safeguarding of the Intangible Cultural Heritage defines this heritage as practices, representations, expressions, knowledge and skills that communities, groups and sometimes individuals recognise as part of their cultural heritage (UNESCO, 2003).</w:t>
      </w:r>
    </w:p>
    <w:p w14:paraId="4CAE8AD3" w14:textId="77777777" w:rsidR="00FC078F" w:rsidRDefault="00000000">
      <w:r>
        <w:t>The preservation of intangible cultural heritage is important because it supports identity, continuity, creativity and social cohesion. Traditions such as storytelling, dance, music, ritual, food practices and craft skills link people to ancestors and place, while also allowing communities to respond to new conditions. Intangible heritage is therefore not only about the past. It is a resource for cultural confidence, education, wellbeing, tourism and local livelihoods. However, it is also fragile because it depends on people, language, memory, time and social settings. When young people migrate, when ritual spaces disappear, when crafts lose markets or when traditions are performed only for tourists, living transmission can weaken.</w:t>
      </w:r>
    </w:p>
    <w:p w14:paraId="5F109CAA" w14:textId="77777777" w:rsidR="00FC078F" w:rsidRDefault="00000000">
      <w:r>
        <w:t>This report focuses on intangible cultural heritage and community participation. It addresses 4 main aims. First, it explains the meaning and scope of intangible cultural heritage. Second, it discusses the role of local communities in protecting and transmitting cultural traditions. Third, it assesses threats such as globalisation, commercialisation, migration and loss of traditional knowledge. Fourth, it recommends strategies for safeguarding intangible cultural heritage for future generations. The report draws on UNESCO policy, heritage theory and examples of living traditions from different cultural settings.</w:t>
      </w:r>
    </w:p>
    <w:p w14:paraId="1B5701B3" w14:textId="77777777" w:rsidR="00FC078F" w:rsidRDefault="00000000">
      <w:r>
        <w:t xml:space="preserve">The central argument is that intangible cultural heritage cannot be preserved effectively through top down listing alone. Formal recognition can increase visibility, but the real safeguarding process depends on whether communities have the authority, resources and motivation to </w:t>
      </w:r>
      <w:r>
        <w:lastRenderedPageBreak/>
        <w:t>continue practising the heritage. Community participation is therefore not an optional addition. It is the foundation of safeguarding. Outside agencies such as governments, museums, schools, tourism bodies and heritage organisations should support transmission without taking control away from the bearers of the tradition.</w:t>
      </w:r>
    </w:p>
    <w:p w14:paraId="73E8DEA1" w14:textId="77777777" w:rsidR="00FC078F" w:rsidRDefault="00000000">
      <w:pPr>
        <w:pStyle w:val="Heading1"/>
      </w:pPr>
      <w:r>
        <w:rPr>
          <w:rFonts w:ascii="Times New Roman" w:eastAsia="Times New Roman" w:hAnsi="Times New Roman"/>
        </w:rPr>
        <w:t>2. Literature Review</w:t>
      </w:r>
    </w:p>
    <w:p w14:paraId="47B1C5F1" w14:textId="77777777" w:rsidR="00FC078F" w:rsidRDefault="00000000">
      <w:r>
        <w:t>The literature on intangible cultural heritage emerged partly as a response to the dominance of tangible heritage in earlier conservation systems. World Heritage frameworks were initially centred on monuments, archaeological sites and cultural landscapes. However, many communities understand heritage through songs, rituals, languages, skills, foodways and social practices that cannot be separated from people. Smith and Akagawa (2009) argue that intangible heritage challenges the idea that heritage is mainly a material object. It draws attention to performance, memory, embodiment, practice and meaning (Smith &amp; Akagawa, 2009). This is especially important for communities whose heritage has historically been underrepresented in official monuments.</w:t>
      </w:r>
    </w:p>
    <w:p w14:paraId="0A038758" w14:textId="77777777" w:rsidR="00FC078F" w:rsidRDefault="00000000">
      <w:r>
        <w:t>UNESCO's 2003 Convention provides the main international framework for safeguarding living heritage. It defines safeguarding as measures aimed at ensuring the viability of intangible cultural heritage, including identification, documentation, research, preservation, protection, promotion, enhancement, transmission and revitalisation (UNESCO, 2003). The Convention also requires community participation. Article 15 states that communities, groups and individuals should participate as widely as possible in safeguarding activities and in management of their heritage (UNESCO, 2003). This creates a different logic from expert centred conservation (Blake, 2009). Communities are not simply sources of information. They are active decision makers.</w:t>
      </w:r>
    </w:p>
    <w:p w14:paraId="446BF7D0" w14:textId="77777777" w:rsidR="00FC078F" w:rsidRDefault="00000000">
      <w:r>
        <w:lastRenderedPageBreak/>
        <w:t>Kurin (2007) explains that safeguarding intangible heritage requires attention to the social conditions that allow practice to continue. A dance tradition, for example, requires teachers, learners, performance occasions, costumes, music, social value and sometimes ritual authority. A craft tradition requires access to raw materials, market demand, apprenticeship and community respect. Documentation alone may record the tradition, but it does not guarantee that people will continue to practise it (Kurin, 2007). This is why safeguarding must address livelihoods, education, cultural spaces and social recognition.</w:t>
      </w:r>
    </w:p>
    <w:p w14:paraId="7D0EACEB" w14:textId="77777777" w:rsidR="00FC078F" w:rsidRDefault="00000000">
      <w:r>
        <w:t>Kirshenblatt Gimblett (2004) describes intangible heritage as metacultural production because the process of identifying, listing and presenting heritage changes how communities and institutions understand it. Once a practice is nominated for recognition, it may be described, standardised or staged in new ways. This can bring benefits, including funding and pride, but it can also create pressure to present a fixed version of a tradition (Kirshenblatt Gimblett, 2004). The literature therefore warns that official safeguarding can unintentionally freeze living practices or privilege elite versions over everyday local variations.</w:t>
      </w:r>
    </w:p>
    <w:p w14:paraId="370CA2B7" w14:textId="77777777" w:rsidR="00FC078F" w:rsidRDefault="00000000">
      <w:r>
        <w:t>Community participation is widely seen as the ethical core of intangible heritage safeguarding. Blake (2009) argues that the 2003 Convention places communities at the centre but also leaves questions about how communities are defined, who represents them and how conflicts inside communities are managed. This is a practical issue because traditions may involve gendered roles, caste or class differences, religious authority, youth innovation and disagreements over ownership. Safeguarding must avoid assuming that every community has one unified voice. Participation should be inclusive, transparent and sensitive to internal diversity (Blake, 2009; Deacon &amp; Smeets, 2013).</w:t>
      </w:r>
    </w:p>
    <w:p w14:paraId="7ACB1D52" w14:textId="77777777" w:rsidR="00FC078F" w:rsidRDefault="00000000">
      <w:r>
        <w:lastRenderedPageBreak/>
        <w:t>Lenzerini (2011) links intangible cultural heritage to human rights because living culture contributes to dignity, identity and self determination. This is important where minority, Indigenous or migrant communities face pressure to assimilate. Safeguarding is not just cultural promotion. It can protect the right of communities to maintain languages, rituals, ecological knowledge and customary practices. However, rights based safeguarding also means that communities should be able to refuse inappropriate exposure, commercial use or recording of sacred knowledge. Not all heritage needs to be made public (Lenzerini, 2011).</w:t>
      </w:r>
    </w:p>
    <w:p w14:paraId="5D30C0A2" w14:textId="77777777" w:rsidR="00FC078F" w:rsidRDefault="00000000">
      <w:r>
        <w:t>Commercialisation is one of the most debated issues in the literature. Cultural performances, crafts and festivals can provide income and strengthen public interest. Cominelli and Greffe (2012) note that intangible heritage can stimulate creativity and local development when community bearers benefit from cultural production. Yet commercial demand can also simplify, shorten or reshape traditions for tourist expectations. When a ritual becomes a show, its timing, meaning and authority may change. The problem is not income itself, but loss of community control and reduction of cultural meaning to entertainment (Cominelli &amp; Greffe, 2012).</w:t>
      </w:r>
    </w:p>
    <w:p w14:paraId="325AEBC8" w14:textId="77777777" w:rsidR="00FC078F" w:rsidRDefault="00000000">
      <w:r>
        <w:t>Globalisation creates another tension. Cultural exchange can make traditions more visible and encourage pride among younger generations. Digital platforms can help diaspora communities learn songs, language and crafts. However, global media can also marginalise local languages, standardise taste and make youth view inherited practices as less valuable. Migration can weaken transmission when elders and learners live apart, but it can also create new forms of heritage in diaspora settings. The literature therefore suggests that safeguarding should support adaptive continuity rather than romanticising isolated tradition (Bortolotto, 2007; Noyes, 2015).</w:t>
      </w:r>
    </w:p>
    <w:p w14:paraId="651424D5" w14:textId="77777777" w:rsidR="00FC078F" w:rsidRDefault="00000000">
      <w:r>
        <w:t xml:space="preserve">Noyes (2015) warns that converting cultural forms into policy objects can produce bureaucratic categories that do not match how people actually live culture. A festival may be religious, </w:t>
      </w:r>
      <w:r>
        <w:lastRenderedPageBreak/>
        <w:t>economic, social, artistic and political at the same time. If management focuses only on its artistic performance, other meanings may be lost. This is why safeguarding plans should be designed with practitioners and should recognise the wider ecosystem of a tradition. The tradition is not only the visible performance. It includes preparation, training, materials, belief, language, humour, memory and community relationships.</w:t>
      </w:r>
    </w:p>
    <w:p w14:paraId="50D5DCAA" w14:textId="77777777" w:rsidR="00FC078F" w:rsidRDefault="00000000">
      <w:r>
        <w:t>Overall, the literature shows that intangible cultural heritage is dynamic, collective and vulnerable. Its preservation cannot be achieved through museums or archives alone, although documentation is useful. The most effective safeguarding approaches protect the conditions of transmission and support community agency. This requires legal recognition, education, intergenerational learning, fair markets, cultural spaces and ethical interpretation. Above all, it requires respect for the people who live the heritage.</w:t>
      </w:r>
    </w:p>
    <w:p w14:paraId="377F4511" w14:textId="77777777" w:rsidR="00FC078F" w:rsidRDefault="00000000">
      <w:r>
        <w:t>The literature also highlights the importance of cultural spaces. Intangible heritage is rarely practised in isolation from place. Markets, temples, homes, fields, workshops, streets and performance grounds create the setting in which knowledge is learned and recognised. If a festival route is blocked by development or a craft workshop is replaced by commercial property, transmission may weaken even if the practice is officially listed. This means that safeguarding intangible heritage sometimes requires protecting physical and social spaces, not only documenting songs or rituals. Tangible and intangible heritage are therefore deeply connected (UNESCO, 2022).</w:t>
      </w:r>
    </w:p>
    <w:p w14:paraId="288978D1" w14:textId="77777777" w:rsidR="00FC078F" w:rsidRDefault="00000000">
      <w:r>
        <w:t xml:space="preserve">Another concern is intellectual property and cultural appropriation. Traditional knowledge and cultural expressions are often collectively created and transmitted, while modern intellectual property systems are usually designed around individual ownership and limited terms. Wendland (2004) argues that traditional knowledge and cultural expressions require careful protection </w:t>
      </w:r>
      <w:r>
        <w:lastRenderedPageBreak/>
        <w:t>because commercial actors can copy designs, music, names or symbols without consent. Safeguarding must therefore include cultural protocols, geographical indication style protection where appropriate, community trademarks, contract safeguards and education about consent (Wendland, 2004).</w:t>
      </w:r>
    </w:p>
    <w:p w14:paraId="3CECA306" w14:textId="77777777" w:rsidR="00FC078F" w:rsidRDefault="00000000">
      <w:r>
        <w:t>Finally, the safeguarding literature shows that cultural policy must avoid treating communities as fixed or isolated. Communities change through education, migration, technology and intermarriage. Safeguarding should therefore support negotiated continuity. A young practitioner who blends inherited technique with new design is not necessarily weakening heritage. The key question is whether the change remains connected to community knowledge and consent.</w:t>
      </w:r>
    </w:p>
    <w:p w14:paraId="5D36E064" w14:textId="77777777" w:rsidR="00FC078F" w:rsidRDefault="00000000">
      <w:pPr>
        <w:pStyle w:val="Heading1"/>
      </w:pPr>
      <w:r>
        <w:rPr>
          <w:rFonts w:ascii="Times New Roman" w:eastAsia="Times New Roman" w:hAnsi="Times New Roman"/>
        </w:rPr>
        <w:t>3. Methodology</w:t>
      </w:r>
    </w:p>
    <w:p w14:paraId="1D4B338C" w14:textId="77777777" w:rsidR="00FC078F" w:rsidRDefault="00000000">
      <w:r>
        <w:t>This report uses a qualitative desk based methodology. The topic concerns principles, threats and strategies, so the most suitable method is analysis of policy documents, academic literature and illustrative examples rather than collection of primary survey data. The research process followed 4 stages: document selection, literature review, example selection and thematic analysis.</w:t>
      </w:r>
    </w:p>
    <w:p w14:paraId="690545D1" w14:textId="77777777" w:rsidR="00FC078F" w:rsidRDefault="00000000">
      <w:r>
        <w:t>The first stage reviewed international policy documents. The UNESCO 2003 Convention was treated as the central framework because it defines intangible cultural heritage and sets out safeguarding responsibilities. UNESCO explanatory material and basic texts were also considered to clarify the domains of intangible heritage and the requirement for community participation. These sources were used to establish the formal meaning of safeguarding and to avoid reducing intangible heritage to folklore or performance alone.</w:t>
      </w:r>
    </w:p>
    <w:p w14:paraId="0A545977" w14:textId="77777777" w:rsidR="00FC078F" w:rsidRDefault="00000000">
      <w:r>
        <w:lastRenderedPageBreak/>
        <w:t>The second stage reviewed academic sources on intangible heritage theory, community participation, commodification, authenticity, transmission and rights. The literature was selected because it explains the strengths and weaknesses of safeguarding practice. Sources were grouped under 5 themes: meaning of intangible heritage, role of communities, threats to transmission, risks of institutionalisation and safeguarding strategies. The review included both supportive and critical perspectives because the assignment requires analysis rather than description.</w:t>
      </w:r>
    </w:p>
    <w:p w14:paraId="60F8EB57" w14:textId="77777777" w:rsidR="00FC078F" w:rsidRDefault="00000000">
      <w:r>
        <w:t>The third stage identified examples of intangible heritage domains, including festivals, oral traditions, performing arts, crafts and traditional knowledge. The examples are used to show how safeguarding problems occur in practice. They are not presented as full case studies because the report does not use fieldwork. Instead, they support the analysis of transmission, commercialisation, migration and community control. Examples were selected because they are common across many societies and relate clearly to UNESCO's recognised domains.</w:t>
      </w:r>
    </w:p>
    <w:p w14:paraId="486962E3" w14:textId="77777777" w:rsidR="00FC078F" w:rsidRDefault="00000000">
      <w:r>
        <w:t>The final stage applied thematic analysis. Information from the policy and academic sources was coded under community participation, transmission, education, economic support, digital documentation, ethical tourism and legal protection. These themes were then used to organise the findings and recommendations. The main limitation is that the report does not include interviews with tradition bearers. Therefore, conclusions remain general rather than specific to one community. However, the method is appropriate for a strategic paper because it produces transferable principles for safeguarding intangible cultural heritage.</w:t>
      </w:r>
    </w:p>
    <w:p w14:paraId="0E038917" w14:textId="77777777" w:rsidR="00FC078F" w:rsidRDefault="00000000">
      <w:r>
        <w:t xml:space="preserve">A strategic lens was used because intangible heritage safeguarding involves policy choices rather than only description of traditions. Each source was read for practical implications: who should decide, what should be protected, what resources are needed and what risks should be avoided. </w:t>
      </w:r>
      <w:r>
        <w:lastRenderedPageBreak/>
        <w:t>This allowed the report to move from definition towards recommendations that can be applied by local authorities, cultural organisations and community groups.</w:t>
      </w:r>
    </w:p>
    <w:p w14:paraId="38AEFD0A" w14:textId="77777777" w:rsidR="00FC078F" w:rsidRDefault="00000000">
      <w:pPr>
        <w:pStyle w:val="Heading1"/>
      </w:pPr>
      <w:r>
        <w:rPr>
          <w:rFonts w:ascii="Times New Roman" w:eastAsia="Times New Roman" w:hAnsi="Times New Roman"/>
        </w:rPr>
        <w:t>4. Findings</w:t>
      </w:r>
    </w:p>
    <w:p w14:paraId="2C2E3FA0" w14:textId="77777777" w:rsidR="00FC078F" w:rsidRDefault="00000000">
      <w:r>
        <w:t>The first finding is that intangible cultural heritage depends on active transmission. A song, dance, ritual or craft can be filmed, written down or displayed, but it remains living heritage only when people continue to practise and recognise it. Documentation is valuable for education and memory, yet it is not a substitute for apprenticeship, performance spaces and community use. Safeguarding should therefore begin by asking what conditions allow practice to continue: who teaches, who learns, where it happens, what materials are needed and why the community values it.</w:t>
      </w:r>
    </w:p>
    <w:p w14:paraId="054BB28C" w14:textId="77777777" w:rsidR="00FC078F" w:rsidRDefault="00000000">
      <w:r>
        <w:t>The second finding is that local communities are the primary guardians of intangible heritage. They hold knowledge about meanings, rules, variations and appropriate contexts. For instance, a ritual may include public elements and restricted elements; a craft may require seasonal knowledge of materials; an oral history may have family or clan based authority. External institutions may help with recording or funding, but they cannot replace community authority. UNESCO's community participation principle reflects this reality by requiring the widest possible participation of communities in safeguarding activities (UNESCO, 2003).</w:t>
      </w:r>
    </w:p>
    <w:p w14:paraId="440D5B08" w14:textId="77777777" w:rsidR="00FC078F" w:rsidRDefault="00000000">
      <w:r>
        <w:t xml:space="preserve">The third finding is that globalisation creates both exposure and vulnerability. Global media and tourism can give traditions new audiences and increase pride, but they can also make local practices compete with mass entertainment. Younger generations may prefer global cultural forms if traditional learning is seen as time consuming, low income or socially outdated. At the same time, digital platforms can support safeguarding when communities use them to teach </w:t>
      </w:r>
      <w:r>
        <w:lastRenderedPageBreak/>
        <w:t>language, share performances or connect diaspora members. The effect of globalisation is therefore not one sided. It depends on whether communities control representation and benefit from visibility.</w:t>
      </w:r>
    </w:p>
    <w:p w14:paraId="4F6A2842" w14:textId="77777777" w:rsidR="00FC078F" w:rsidRDefault="00000000">
      <w:r>
        <w:t>The fourth finding is that commercialisation is a major threat when it separates cultural expression from community meaning. Festivals, dances and crafts often attract tourists and buyers. This can provide income for practitioners and encourage continuation. However, when performances are shortened, sacred meanings are removed, costumes are modified only for market appeal or cheap replicas replace skilled craft, the heritage may become a product detached from its social context. Commercialisation becomes especially harmful when intermediaries gain most of the profit while practitioners remain poorly paid.</w:t>
      </w:r>
    </w:p>
    <w:p w14:paraId="36974A76" w14:textId="77777777" w:rsidR="00FC078F" w:rsidRDefault="00000000">
      <w:r>
        <w:t>The fifth finding is that migration can weaken intergenerational transmission. When young people move for education or work, they may lose regular contact with elders and community events. Rural depopulation can reduce the number of apprentices in crafts or performers in festivals. Diaspora settings may also change language use and ritual calendars. Yet migration can also create new safeguarding possibilities. Migrant communities often use festivals, food, music and language classes to maintain identity. Safeguarding strategies should therefore include diaspora networks rather than assuming that heritage belongs only in its original location.</w:t>
      </w:r>
    </w:p>
    <w:p w14:paraId="65106C94" w14:textId="77777777" w:rsidR="00FC078F" w:rsidRDefault="00000000">
      <w:r>
        <w:t xml:space="preserve">The sixth finding is that loss of traditional knowledge is often linked to economic and environmental change. Craft traditions may decline when raw materials become expensive, forests are restricted, handmade products cannot compete with factory goods or apprentices cannot earn a livelihood. Ecological knowledge may decline when communities lose access to land or when climate change alters species and seasons. Oral traditions may weaken when </w:t>
      </w:r>
      <w:r>
        <w:lastRenderedPageBreak/>
        <w:t>minority languages are not used in schools. Safeguarding must therefore address material and economic conditions, not only cultural pride.</w:t>
      </w:r>
    </w:p>
    <w:p w14:paraId="42225031" w14:textId="77777777" w:rsidR="00FC078F" w:rsidRDefault="00000000">
      <w:r>
        <w:t>The seventh finding is that government recognition can help but can also create problems. Listing a practice as heritage can increase visibility, funding and prestige. It may support cultural education and tourism. However, listing can also standardise a tradition, privilege one version over others or encourage communities to perform authenticity for outsiders. Safeguarding plans should therefore be flexible and community led. Recognition should support living practice rather than turn it into a museum style object.</w:t>
      </w:r>
    </w:p>
    <w:p w14:paraId="396B4D41" w14:textId="77777777" w:rsidR="00FC078F" w:rsidRDefault="00000000">
      <w:r>
        <w:t>The eighth finding is that successful safeguarding requires multiple strategies working together. Intergenerational workshops, school curriculum, community archives, practitioner grants, cultural centres, fair trade craft markets, language support, ethical tourism guidelines and legal protection can reinforce each other. A craft tradition, for example, may need apprenticeships, access to materials, design innovation, market support and protection from copied products. A festival may need public space, safety planning, community leadership and interpretation for visitors. No single strategy is sufficient because intangible heritage is part of a wider social ecosystem.</w:t>
      </w:r>
    </w:p>
    <w:p w14:paraId="647F8E34" w14:textId="77777777" w:rsidR="00FC078F" w:rsidRDefault="00000000">
      <w:r>
        <w:t>The ninth finding is that intangible heritage safeguarding requires gender and youth sensitivity. Many traditions are transmitted through gendered roles, such as weaving, food preparation, ritual singing, healing or performance. If safeguarding programmes recognise only public male leadership, they may ignore the knowledge of women or informal teachers. Similarly, young people should not be treated only as passive learners. They often bring digital skills, new design ideas and transnational networks that can help traditions remain relevant. Intergenerational dialogue is stronger than one way instruction.</w:t>
      </w:r>
    </w:p>
    <w:p w14:paraId="0C7F47B2" w14:textId="77777777" w:rsidR="00FC078F" w:rsidRDefault="00000000">
      <w:r>
        <w:lastRenderedPageBreak/>
        <w:t>The tenth finding is that safeguarding needs reliable but respectful documentation. Audio, video, photographs, inventories and oral history interviews can help preserve knowledge, support teaching and provide evidence for funding. However, documentation must be consent based and culturally controlled. Some rituals, stories or techniques may be restricted, seasonal or sacred. A respectful archive should therefore allow communities to decide access levels, language, description and reuse conditions. This makes documentation a community resource rather than an extractive research activity.</w:t>
      </w:r>
    </w:p>
    <w:p w14:paraId="09EE333C" w14:textId="77777777" w:rsidR="00FC078F" w:rsidRDefault="00000000">
      <w:r>
        <w:t>The eleventh finding is that safeguarding should link culture with wellbeing. Participation in ritual, music, storytelling, craft and festival activity can strengthen belonging, confidence and social support. This is especially important for minority and migrant communities that may experience cultural loss or discrimination. When safeguarding is designed only for tourism, these wellbeing functions are ignored. A strong safeguarding plan should therefore measure community confidence and participation, not only audience size or visitor income.</w:t>
      </w:r>
    </w:p>
    <w:p w14:paraId="123047C9" w14:textId="77777777" w:rsidR="00FC078F" w:rsidRDefault="00000000">
      <w:pPr>
        <w:pStyle w:val="Heading1"/>
      </w:pPr>
      <w:r>
        <w:rPr>
          <w:rFonts w:ascii="Times New Roman" w:eastAsia="Times New Roman" w:hAnsi="Times New Roman"/>
        </w:rPr>
        <w:t>5. Discussion</w:t>
      </w:r>
    </w:p>
    <w:p w14:paraId="613EAC54" w14:textId="77777777" w:rsidR="00FC078F" w:rsidRDefault="00000000">
      <w:r>
        <w:t>The findings indicate that preservation of intangible cultural heritage should not be understood as freezing culture. Living traditions change because communities change. New materials, new audiences, migration and digital communication can all become part of heritage continuity. The key ethical question is not whether change occurs, but who controls the change and whether the community still recognises the practice as meaningful. This view is consistent with the UNESCO definition, which emphasises that communities recreate intangible heritage in response to their environment, interaction with nature and history (UNESCO, 2003).</w:t>
      </w:r>
    </w:p>
    <w:p w14:paraId="3C660934" w14:textId="77777777" w:rsidR="00FC078F" w:rsidRDefault="00000000">
      <w:r>
        <w:lastRenderedPageBreak/>
        <w:t>Community participation must therefore be substantive. Consultation is weak if a government or tourism body has already decided how a tradition will be presented. Real participation includes community authority over documentation, consent, benefit sharing, performance context, sacred restrictions and educational priorities. It also requires attention to internal differences. Women, youth, elders, minority lineages and less powerful practitioners may experience heritage differently. A safeguarding plan that listens only to official leaders can reproduce inequality within the community.</w:t>
      </w:r>
    </w:p>
    <w:p w14:paraId="317BDEF1" w14:textId="77777777" w:rsidR="00FC078F" w:rsidRDefault="00000000">
      <w:r>
        <w:t>Commercialisation needs a balanced response. Rejecting all markets is unrealistic because many practitioners need income, and cultural work has always involved exchange. However, market participation should be governed by fairness and cultural integrity. Ethical cultural enterprise can support apprenticeships, local materials and pride. Harmful commercialisation occurs when outside businesses control the image, price and timing of heritage without respecting practitioners. A practical solution is community owned branding, cooperative marketing, transparent payment and interpretation that explains cultural context rather than offering only spectacle.</w:t>
      </w:r>
    </w:p>
    <w:p w14:paraId="78248F3A" w14:textId="77777777" w:rsidR="00FC078F" w:rsidRDefault="00000000">
      <w:r>
        <w:t>Digital safeguarding also requires caution. Recording songs, rituals and craft techniques can preserve knowledge and support teaching, especially for dispersed communities. However, digital exposure can lead to misuse, unauthorised copying or removal of knowledge from its cultural context. Communities should decide what can be recorded, who can access it and how it may be used. Some knowledge may be restricted to certain groups or occasions. Digital archives should therefore have cultural protocols, not simply open access policies.</w:t>
      </w:r>
    </w:p>
    <w:p w14:paraId="2D978F72" w14:textId="77777777" w:rsidR="00FC078F" w:rsidRDefault="00000000">
      <w:r>
        <w:t xml:space="preserve">Education is perhaps the most important long term strategy. Schools can help young people value local heritage, but education should not reduce living traditions to textbook facts. It should </w:t>
      </w:r>
      <w:r>
        <w:lastRenderedPageBreak/>
        <w:t>involve practitioners as teachers, visits to cultural spaces, learning by doing and respect for local languages. Apprenticeship is particularly important for crafts and performing arts because embodied knowledge cannot be fully captured in written descriptions. Government grants or stipends can make apprenticeship viable where market income is uncertain.</w:t>
      </w:r>
    </w:p>
    <w:p w14:paraId="2A66C721" w14:textId="77777777" w:rsidR="00FC078F" w:rsidRDefault="00000000">
      <w:r>
        <w:t>The role of outside institutions should be supportive rather than controlling. UNESCO, museums, universities, local authorities and tourism boards can provide funding, research, documentation and platforms. However, they should avoid claiming ownership of heritage. The most sustainable model is partnership in which community bearers define priorities and institutions provide technical support. Safeguarding should be judged not by the number of performances staged for visitors, but by the strength of transmission, community confidence, fair livelihoods and respect for cultural meaning.</w:t>
      </w:r>
    </w:p>
    <w:p w14:paraId="43F2181A" w14:textId="77777777" w:rsidR="00FC078F" w:rsidRDefault="00000000">
      <w:r>
        <w:t>A practical safeguarding plan should therefore begin with community mapping. This means identifying practitioners, learners, materials, spaces, events, threats and existing forms of support. The mapping should be carried out with the community and updated regularly because living heritage changes. The plan should then set priorities that are realistic. For one tradition, the priority may be youth apprenticeship. For another, it may be access to raw materials or protection from misuse by tourist businesses. This flexible planning is more effective than applying the same generic strategy to every tradition.</w:t>
      </w:r>
    </w:p>
    <w:p w14:paraId="3993727D" w14:textId="77777777" w:rsidR="00FC078F" w:rsidRDefault="00000000">
      <w:r>
        <w:t>Ethical tourism can be part of safeguarding when it is designed with bearers. Visitors can learn respectfully, buy authentic products and support cultural events. However, tourism should not become the main reason for continuing a tradition. If a ritual is maintained only because tourists pay to see it, its community function may weaken. The better model is to protect the internal cultural life first and then allow carefully managed public sharing where the community wants it.</w:t>
      </w:r>
    </w:p>
    <w:p w14:paraId="689C0577" w14:textId="77777777" w:rsidR="00FC078F" w:rsidRDefault="00000000">
      <w:r>
        <w:lastRenderedPageBreak/>
        <w:t>The same principle applies to funding. Short project grants can start safeguarding work, but living heritage needs continuing support. Long term funds for teaching, materials, community spaces and practitioner income are more useful than one time festivals that create visibility without lasting transmission.</w:t>
      </w:r>
    </w:p>
    <w:p w14:paraId="448AA130" w14:textId="77777777" w:rsidR="00FC078F" w:rsidRDefault="00000000">
      <w:pPr>
        <w:pStyle w:val="Heading1"/>
      </w:pPr>
      <w:r>
        <w:rPr>
          <w:rFonts w:ascii="Times New Roman" w:eastAsia="Times New Roman" w:hAnsi="Times New Roman"/>
        </w:rPr>
        <w:t>6. Conclusion</w:t>
      </w:r>
    </w:p>
    <w:p w14:paraId="15568B0D" w14:textId="77777777" w:rsidR="00FC078F" w:rsidRDefault="00000000">
      <w:r>
        <w:t>Intangible cultural heritage includes the living traditions, expressions, knowledge and skills through which communities maintain identity and continuity. It covers rituals, festivals, performing arts, oral histories, crafts and ecological knowledge, but its real value lies in the people who practise and transmit it. This report has shown that preservation of intangible heritage must focus on viability, not only documentation. A tradition is safeguarded when it continues to be meaningful, taught, adapted and respected by its community.</w:t>
      </w:r>
    </w:p>
    <w:p w14:paraId="342138AE" w14:textId="77777777" w:rsidR="00FC078F" w:rsidRDefault="00000000">
      <w:r>
        <w:t>The main threats are globalisation, commercialisation, migration, language loss, weak apprenticeship systems and declining traditional livelihoods. These pressures can reduce transmission or turn heritage into a product for outside consumption. However, change is not automatically harmful. Digital tools, tourism and markets can support safeguarding when communities control representation and receive fair benefits. The goal is adaptive continuity rather than artificial preservation.</w:t>
      </w:r>
    </w:p>
    <w:p w14:paraId="79884592" w14:textId="77777777" w:rsidR="00FC078F" w:rsidRDefault="00000000">
      <w:r>
        <w:t xml:space="preserve">The recommended approach is community led safeguarding supported by institutions. Strategies should include intergenerational education, practitioner grants, cultural spaces, community archives, ethical tourism, fair markets, legal protection and cultural protocols for digital use. Governments and heritage organisations should act as facilitators, while communities remain </w:t>
      </w:r>
      <w:r>
        <w:lastRenderedPageBreak/>
        <w:t>decision makers. Intangible cultural heritage will survive for future generations only when the people who live it have the authority, resources and dignity needed to keep practising it.</w:t>
      </w:r>
    </w:p>
    <w:p w14:paraId="7BE1F47C" w14:textId="77777777" w:rsidR="00FC078F" w:rsidRDefault="00000000">
      <w:r>
        <w:t>Ultimately, safeguarding should protect the dignity of cultural bearers. A tradition cannot remain alive if practitioners are treated as attractions, if their labour is underpaid or if their knowledge is taken without permission. Sustainable preservation must therefore join cultural policy with education, livelihood support and ethical representation. When these conditions exist, intangible heritage can remain creative and living rather than becoming a fixed display of the past.</w:t>
      </w:r>
    </w:p>
    <w:p w14:paraId="266D4264" w14:textId="77777777" w:rsidR="00FC078F" w:rsidRDefault="00000000">
      <w:r>
        <w:t>For future generations, the most important safeguard is continuity of practice. Documentation, awards and tourism promotion are useful only when they help children, young adults and community members learn from recognised bearers. The priority should therefore be everyday transmission supported by respectful institutions.</w:t>
      </w:r>
    </w:p>
    <w:p w14:paraId="4898CE38" w14:textId="77777777" w:rsidR="00FC078F" w:rsidRDefault="00FC078F"/>
    <w:p w14:paraId="1B6DFC7B" w14:textId="77777777" w:rsidR="00FC078F" w:rsidRDefault="00000000">
      <w:r>
        <w:br w:type="page"/>
      </w:r>
    </w:p>
    <w:p w14:paraId="657BBF2B" w14:textId="77777777" w:rsidR="00FC078F" w:rsidRDefault="00000000">
      <w:pPr>
        <w:pStyle w:val="Heading1"/>
      </w:pPr>
      <w:r>
        <w:rPr>
          <w:rFonts w:ascii="Times New Roman" w:eastAsia="Times New Roman" w:hAnsi="Times New Roman"/>
        </w:rPr>
        <w:lastRenderedPageBreak/>
        <w:t>References</w:t>
      </w:r>
    </w:p>
    <w:p w14:paraId="5761AF35" w14:textId="77777777" w:rsidR="00FC078F" w:rsidRDefault="00000000">
      <w:pPr>
        <w:ind w:left="720" w:hanging="720"/>
      </w:pPr>
      <w:r>
        <w:t>Blake, J. (2009). UNESCO's 2003 Convention on Intangible Cultural Heritage: The implications of community involvement in safeguarding. In L. Smith &amp; N. Akagawa (Eds.), Intangible heritage (pp. 45-73). Routledge.</w:t>
      </w:r>
    </w:p>
    <w:p w14:paraId="598B753F" w14:textId="77777777" w:rsidR="00FC078F" w:rsidRDefault="00000000">
      <w:pPr>
        <w:ind w:left="720" w:hanging="720"/>
      </w:pPr>
      <w:r>
        <w:t>Bortolotto, C. (2007). From objects to processes: UNESCO's intangible cultural heritage. Journal of Museum Ethnography, 19, 21-33.</w:t>
      </w:r>
    </w:p>
    <w:p w14:paraId="561DC86E" w14:textId="77777777" w:rsidR="00FC078F" w:rsidRDefault="00000000">
      <w:pPr>
        <w:ind w:left="720" w:hanging="720"/>
      </w:pPr>
      <w:r>
        <w:t>Cominelli, F., &amp; Greffe, X. (2012). Intangible cultural heritage: Safeguarding for creativity. City, Culture and Society, 3(4), 245-250. https://doi.org/10.1016/j.ccs.2012.10.003</w:t>
      </w:r>
    </w:p>
    <w:p w14:paraId="4F9EF5EF" w14:textId="77777777" w:rsidR="00FC078F" w:rsidRDefault="00000000">
      <w:pPr>
        <w:ind w:left="720" w:hanging="720"/>
      </w:pPr>
      <w:r>
        <w:t>Deacon, H., &amp; Smeets, R. (2013). Authenticity, value and community involvement in heritage management under the World Heritage and Intangible Heritage Conventions. Heritage and Society, 6(2), 129-143. https://doi.org/10.1179/2159032X13Z.0000000009</w:t>
      </w:r>
    </w:p>
    <w:p w14:paraId="204DA0BA" w14:textId="77777777" w:rsidR="00FC078F" w:rsidRDefault="00000000">
      <w:pPr>
        <w:ind w:left="720" w:hanging="720"/>
      </w:pPr>
      <w:r>
        <w:t>Kirshenblatt Gimblett, B. (2004). Intangible heritage as metacultural production. Museum International, 56(1-2), 52-65. https://doi.org/10.1111/j.1350-0775.2004.00458.x</w:t>
      </w:r>
    </w:p>
    <w:p w14:paraId="5D1BBD4F" w14:textId="77777777" w:rsidR="00FC078F" w:rsidRDefault="00000000">
      <w:pPr>
        <w:ind w:left="720" w:hanging="720"/>
      </w:pPr>
      <w:r>
        <w:t>Kurin, R. (2007). Safeguarding intangible cultural heritage: Key factors in implementing the 2003 Convention. International Journal of Intangible Heritage, 2, 10-20.</w:t>
      </w:r>
    </w:p>
    <w:p w14:paraId="0C3A7351" w14:textId="77777777" w:rsidR="00FC078F" w:rsidRDefault="00000000">
      <w:pPr>
        <w:ind w:left="720" w:hanging="720"/>
      </w:pPr>
      <w:r>
        <w:t>Lenzerini, F. (2011). Intangible cultural heritage: The living culture of peoples. European Journal of International Law, 22(1), 101-120. https://doi.org/10.1093/ejil/chr006</w:t>
      </w:r>
    </w:p>
    <w:p w14:paraId="3966A851" w14:textId="77777777" w:rsidR="00FC078F" w:rsidRDefault="00000000">
      <w:pPr>
        <w:ind w:left="720" w:hanging="720"/>
      </w:pPr>
      <w:r>
        <w:t>Lixinski, L. (2013). Intangible cultural heritage in international law. Oxford University Press.</w:t>
      </w:r>
    </w:p>
    <w:p w14:paraId="3254069D" w14:textId="77777777" w:rsidR="00FC078F" w:rsidRDefault="00000000">
      <w:pPr>
        <w:ind w:left="720" w:hanging="720"/>
      </w:pPr>
      <w:r>
        <w:t>Noyes, D. (2015). From cultural forms to policy objects: Comparison and values in the UNESCO regime of safeguarding intangible cultural heritage. In P. F. Biehl, D. C. Comer, C. Prescott, &amp; H. A. Soderland (Eds.), Identity and heritage (pp. 148-163). Springer.</w:t>
      </w:r>
    </w:p>
    <w:p w14:paraId="5C8E910C" w14:textId="77777777" w:rsidR="00FC078F" w:rsidRDefault="00000000">
      <w:pPr>
        <w:ind w:left="720" w:hanging="720"/>
      </w:pPr>
      <w:r>
        <w:t>Smith, L., &amp; Akagawa, N. (Eds.). (2009). Intangible heritage. Routledge.</w:t>
      </w:r>
    </w:p>
    <w:p w14:paraId="645F554B" w14:textId="77777777" w:rsidR="00FC078F" w:rsidRDefault="00000000">
      <w:pPr>
        <w:ind w:left="720" w:hanging="720"/>
      </w:pPr>
      <w:r>
        <w:lastRenderedPageBreak/>
        <w:t>UNESCO. (2003). Convention for the safeguarding of the intangible cultural heritage. https://ich.unesco.org/en/convention</w:t>
      </w:r>
    </w:p>
    <w:p w14:paraId="38581994" w14:textId="77777777" w:rsidR="00FC078F" w:rsidRDefault="00000000">
      <w:pPr>
        <w:ind w:left="720" w:hanging="720"/>
      </w:pPr>
      <w:r>
        <w:t>UNESCO. (2022). Basic texts of the 2003 Convention for the safeguarding of the intangible cultural heritage. https://ich.unesco.org/doc/src/2003_Convention_Basic_Texts-_2022_version-EN_.pdf</w:t>
      </w:r>
    </w:p>
    <w:p w14:paraId="26DA1BDB" w14:textId="77777777" w:rsidR="00FC078F" w:rsidRDefault="00000000">
      <w:pPr>
        <w:ind w:left="720" w:hanging="720"/>
      </w:pPr>
      <w:r>
        <w:t>UNESCO. (n.d.). What is intangible cultural heritage? https://ich.unesco.org/en/what-is-intangible-heritage-00003</w:t>
      </w:r>
    </w:p>
    <w:p w14:paraId="186B7947" w14:textId="77777777" w:rsidR="00FC078F" w:rsidRDefault="00000000">
      <w:pPr>
        <w:ind w:left="720" w:hanging="720"/>
      </w:pPr>
      <w:r>
        <w:t>Wendland, W. B. (2004). Intellectual property and the protection of traditional knowledge and cultural expressions. Art Antiquity and Law, 9(4), 327-339.</w:t>
      </w:r>
    </w:p>
    <w:p w14:paraId="6E184EAA" w14:textId="77777777" w:rsidR="00FC078F" w:rsidRDefault="00000000">
      <w:r>
        <w:br w:type="page"/>
      </w:r>
    </w:p>
    <w:p w14:paraId="358EC09A" w14:textId="77777777" w:rsidR="00FC078F" w:rsidRDefault="00000000">
      <w:pPr>
        <w:pStyle w:val="Heading1"/>
      </w:pPr>
      <w:r>
        <w:rPr>
          <w:rFonts w:ascii="Times New Roman" w:eastAsia="Times New Roman" w:hAnsi="Times New Roman"/>
        </w:rPr>
        <w:lastRenderedPageBreak/>
        <w:t>Appendices</w:t>
      </w:r>
    </w:p>
    <w:p w14:paraId="407F9CB3" w14:textId="77777777" w:rsidR="00FC078F" w:rsidRDefault="00000000">
      <w:pPr>
        <w:pStyle w:val="Heading2"/>
      </w:pPr>
      <w:r>
        <w:rPr>
          <w:rFonts w:ascii="Times New Roman" w:eastAsia="Times New Roman" w:hAnsi="Times New Roman"/>
        </w:rPr>
        <w:t>Appendix A. Main domains of intangible cultural heritage</w:t>
      </w:r>
    </w:p>
    <w:tbl>
      <w:tblPr>
        <w:tblStyle w:val="TableGrid"/>
        <w:tblW w:w="0" w:type="auto"/>
        <w:tblLook w:val="04A0" w:firstRow="1" w:lastRow="0" w:firstColumn="1" w:lastColumn="0" w:noHBand="0" w:noVBand="1"/>
      </w:tblPr>
      <w:tblGrid>
        <w:gridCol w:w="3120"/>
        <w:gridCol w:w="3120"/>
        <w:gridCol w:w="3120"/>
      </w:tblGrid>
      <w:tr w:rsidR="00FC078F" w14:paraId="35E01E89" w14:textId="77777777">
        <w:tc>
          <w:tcPr>
            <w:tcW w:w="3120" w:type="dxa"/>
            <w:shd w:val="clear" w:color="auto" w:fill="D9EAF7"/>
          </w:tcPr>
          <w:p w14:paraId="7AAB672D" w14:textId="77777777" w:rsidR="00FC078F" w:rsidRDefault="00000000">
            <w:pPr>
              <w:spacing w:line="240" w:lineRule="auto"/>
            </w:pPr>
            <w:r>
              <w:rPr>
                <w:b/>
                <w:sz w:val="20"/>
              </w:rPr>
              <w:t>Domain</w:t>
            </w:r>
          </w:p>
        </w:tc>
        <w:tc>
          <w:tcPr>
            <w:tcW w:w="3120" w:type="dxa"/>
            <w:shd w:val="clear" w:color="auto" w:fill="D9EAF7"/>
          </w:tcPr>
          <w:p w14:paraId="1CA2159F" w14:textId="77777777" w:rsidR="00FC078F" w:rsidRDefault="00000000">
            <w:pPr>
              <w:spacing w:line="240" w:lineRule="auto"/>
            </w:pPr>
            <w:r>
              <w:rPr>
                <w:b/>
                <w:sz w:val="20"/>
              </w:rPr>
              <w:t>Examples</w:t>
            </w:r>
          </w:p>
        </w:tc>
        <w:tc>
          <w:tcPr>
            <w:tcW w:w="3120" w:type="dxa"/>
            <w:shd w:val="clear" w:color="auto" w:fill="D9EAF7"/>
          </w:tcPr>
          <w:p w14:paraId="11243A60" w14:textId="77777777" w:rsidR="00FC078F" w:rsidRDefault="00000000">
            <w:pPr>
              <w:spacing w:line="240" w:lineRule="auto"/>
            </w:pPr>
            <w:r>
              <w:rPr>
                <w:b/>
                <w:sz w:val="20"/>
              </w:rPr>
              <w:t>Safeguarding need</w:t>
            </w:r>
          </w:p>
        </w:tc>
      </w:tr>
      <w:tr w:rsidR="00FC078F" w14:paraId="10890095" w14:textId="77777777">
        <w:tc>
          <w:tcPr>
            <w:tcW w:w="3120" w:type="dxa"/>
          </w:tcPr>
          <w:p w14:paraId="7200474E" w14:textId="77777777" w:rsidR="00FC078F" w:rsidRDefault="00000000">
            <w:pPr>
              <w:spacing w:line="240" w:lineRule="auto"/>
            </w:pPr>
            <w:r>
              <w:rPr>
                <w:sz w:val="20"/>
              </w:rPr>
              <w:t>Oral traditions</w:t>
            </w:r>
          </w:p>
        </w:tc>
        <w:tc>
          <w:tcPr>
            <w:tcW w:w="3120" w:type="dxa"/>
          </w:tcPr>
          <w:p w14:paraId="0FBC7DDD" w14:textId="77777777" w:rsidR="00FC078F" w:rsidRDefault="00000000">
            <w:pPr>
              <w:spacing w:line="240" w:lineRule="auto"/>
            </w:pPr>
            <w:r>
              <w:rPr>
                <w:sz w:val="20"/>
              </w:rPr>
              <w:t>Stories, epics, proverbs and language based memory</w:t>
            </w:r>
          </w:p>
        </w:tc>
        <w:tc>
          <w:tcPr>
            <w:tcW w:w="3120" w:type="dxa"/>
          </w:tcPr>
          <w:p w14:paraId="4D354AF2" w14:textId="77777777" w:rsidR="00FC078F" w:rsidRDefault="00000000">
            <w:pPr>
              <w:spacing w:line="240" w:lineRule="auto"/>
            </w:pPr>
            <w:r>
              <w:rPr>
                <w:sz w:val="20"/>
              </w:rPr>
              <w:t>Language support and community recording</w:t>
            </w:r>
          </w:p>
        </w:tc>
      </w:tr>
      <w:tr w:rsidR="00FC078F" w14:paraId="789D0352" w14:textId="77777777">
        <w:tc>
          <w:tcPr>
            <w:tcW w:w="3120" w:type="dxa"/>
          </w:tcPr>
          <w:p w14:paraId="72E7FF5C" w14:textId="77777777" w:rsidR="00FC078F" w:rsidRDefault="00000000">
            <w:pPr>
              <w:spacing w:line="240" w:lineRule="auto"/>
            </w:pPr>
            <w:r>
              <w:rPr>
                <w:sz w:val="20"/>
              </w:rPr>
              <w:t>Performing arts</w:t>
            </w:r>
          </w:p>
        </w:tc>
        <w:tc>
          <w:tcPr>
            <w:tcW w:w="3120" w:type="dxa"/>
          </w:tcPr>
          <w:p w14:paraId="493C6535" w14:textId="77777777" w:rsidR="00FC078F" w:rsidRDefault="00000000">
            <w:pPr>
              <w:spacing w:line="240" w:lineRule="auto"/>
            </w:pPr>
            <w:r>
              <w:rPr>
                <w:sz w:val="20"/>
              </w:rPr>
              <w:t>Dance, music, theatre and ritual performance</w:t>
            </w:r>
          </w:p>
        </w:tc>
        <w:tc>
          <w:tcPr>
            <w:tcW w:w="3120" w:type="dxa"/>
          </w:tcPr>
          <w:p w14:paraId="2D03749A" w14:textId="77777777" w:rsidR="00FC078F" w:rsidRDefault="00000000">
            <w:pPr>
              <w:spacing w:line="240" w:lineRule="auto"/>
            </w:pPr>
            <w:r>
              <w:rPr>
                <w:sz w:val="20"/>
              </w:rPr>
              <w:t>Apprenticeship and fair performance conditions</w:t>
            </w:r>
          </w:p>
        </w:tc>
      </w:tr>
      <w:tr w:rsidR="00FC078F" w14:paraId="2F5BBE79" w14:textId="77777777">
        <w:tc>
          <w:tcPr>
            <w:tcW w:w="3120" w:type="dxa"/>
          </w:tcPr>
          <w:p w14:paraId="3A9556A7" w14:textId="77777777" w:rsidR="00FC078F" w:rsidRDefault="00000000">
            <w:pPr>
              <w:spacing w:line="240" w:lineRule="auto"/>
            </w:pPr>
            <w:r>
              <w:rPr>
                <w:sz w:val="20"/>
              </w:rPr>
              <w:t>Social practices and festivals</w:t>
            </w:r>
          </w:p>
        </w:tc>
        <w:tc>
          <w:tcPr>
            <w:tcW w:w="3120" w:type="dxa"/>
          </w:tcPr>
          <w:p w14:paraId="0E2A13DF" w14:textId="77777777" w:rsidR="00FC078F" w:rsidRDefault="00000000">
            <w:pPr>
              <w:spacing w:line="240" w:lineRule="auto"/>
            </w:pPr>
            <w:r>
              <w:rPr>
                <w:sz w:val="20"/>
              </w:rPr>
              <w:t>Rituals, seasonal festivals and community ceremonies</w:t>
            </w:r>
          </w:p>
        </w:tc>
        <w:tc>
          <w:tcPr>
            <w:tcW w:w="3120" w:type="dxa"/>
          </w:tcPr>
          <w:p w14:paraId="7F490542" w14:textId="77777777" w:rsidR="00FC078F" w:rsidRDefault="00000000">
            <w:pPr>
              <w:spacing w:line="240" w:lineRule="auto"/>
            </w:pPr>
            <w:r>
              <w:rPr>
                <w:sz w:val="20"/>
              </w:rPr>
              <w:t>Cultural space, local leadership and respectful visitor management</w:t>
            </w:r>
          </w:p>
        </w:tc>
      </w:tr>
      <w:tr w:rsidR="00FC078F" w14:paraId="76131CF3" w14:textId="77777777">
        <w:tc>
          <w:tcPr>
            <w:tcW w:w="3120" w:type="dxa"/>
          </w:tcPr>
          <w:p w14:paraId="6DA6E76B" w14:textId="77777777" w:rsidR="00FC078F" w:rsidRDefault="00000000">
            <w:pPr>
              <w:spacing w:line="240" w:lineRule="auto"/>
            </w:pPr>
            <w:r>
              <w:rPr>
                <w:sz w:val="20"/>
              </w:rPr>
              <w:t>Knowledge concerning nature</w:t>
            </w:r>
          </w:p>
        </w:tc>
        <w:tc>
          <w:tcPr>
            <w:tcW w:w="3120" w:type="dxa"/>
          </w:tcPr>
          <w:p w14:paraId="3708EE4E" w14:textId="77777777" w:rsidR="00FC078F" w:rsidRDefault="00000000">
            <w:pPr>
              <w:spacing w:line="240" w:lineRule="auto"/>
            </w:pPr>
            <w:r>
              <w:rPr>
                <w:sz w:val="20"/>
              </w:rPr>
              <w:t>Agricultural, healing, ecological and navigation knowledge</w:t>
            </w:r>
          </w:p>
        </w:tc>
        <w:tc>
          <w:tcPr>
            <w:tcW w:w="3120" w:type="dxa"/>
          </w:tcPr>
          <w:p w14:paraId="6CAAF8AE" w14:textId="77777777" w:rsidR="00FC078F" w:rsidRDefault="00000000">
            <w:pPr>
              <w:spacing w:line="240" w:lineRule="auto"/>
            </w:pPr>
            <w:r>
              <w:rPr>
                <w:sz w:val="20"/>
              </w:rPr>
              <w:t>Land access, environmental protection and intergenerational teaching</w:t>
            </w:r>
          </w:p>
        </w:tc>
      </w:tr>
      <w:tr w:rsidR="00FC078F" w14:paraId="444F1251" w14:textId="77777777">
        <w:tc>
          <w:tcPr>
            <w:tcW w:w="3120" w:type="dxa"/>
          </w:tcPr>
          <w:p w14:paraId="564A8C4A" w14:textId="77777777" w:rsidR="00FC078F" w:rsidRDefault="00000000">
            <w:pPr>
              <w:spacing w:line="240" w:lineRule="auto"/>
            </w:pPr>
            <w:r>
              <w:rPr>
                <w:sz w:val="20"/>
              </w:rPr>
              <w:t>Traditional craftsmanship</w:t>
            </w:r>
          </w:p>
        </w:tc>
        <w:tc>
          <w:tcPr>
            <w:tcW w:w="3120" w:type="dxa"/>
          </w:tcPr>
          <w:p w14:paraId="04F4D006" w14:textId="77777777" w:rsidR="00FC078F" w:rsidRDefault="00000000">
            <w:pPr>
              <w:spacing w:line="240" w:lineRule="auto"/>
            </w:pPr>
            <w:r>
              <w:rPr>
                <w:sz w:val="20"/>
              </w:rPr>
              <w:t>Textiles, pottery, carving and metal work</w:t>
            </w:r>
          </w:p>
        </w:tc>
        <w:tc>
          <w:tcPr>
            <w:tcW w:w="3120" w:type="dxa"/>
          </w:tcPr>
          <w:p w14:paraId="3EDD2130" w14:textId="77777777" w:rsidR="00FC078F" w:rsidRDefault="00000000">
            <w:pPr>
              <w:spacing w:line="240" w:lineRule="auto"/>
            </w:pPr>
            <w:r>
              <w:rPr>
                <w:sz w:val="20"/>
              </w:rPr>
              <w:t>Material supply, apprenticeship and fair markets</w:t>
            </w:r>
          </w:p>
        </w:tc>
      </w:tr>
    </w:tbl>
    <w:p w14:paraId="287E8C23" w14:textId="77777777" w:rsidR="00FC078F" w:rsidRDefault="00FC078F"/>
    <w:p w14:paraId="19D2E4F9" w14:textId="77777777" w:rsidR="00FC078F" w:rsidRDefault="00000000">
      <w:pPr>
        <w:pStyle w:val="Heading2"/>
      </w:pPr>
      <w:r>
        <w:rPr>
          <w:rFonts w:ascii="Times New Roman" w:eastAsia="Times New Roman" w:hAnsi="Times New Roman"/>
        </w:rPr>
        <w:t>Appendix B. Strategic safeguarding framework</w:t>
      </w:r>
    </w:p>
    <w:tbl>
      <w:tblPr>
        <w:tblStyle w:val="TableGrid"/>
        <w:tblW w:w="0" w:type="auto"/>
        <w:tblLook w:val="04A0" w:firstRow="1" w:lastRow="0" w:firstColumn="1" w:lastColumn="0" w:noHBand="0" w:noVBand="1"/>
      </w:tblPr>
      <w:tblGrid>
        <w:gridCol w:w="4680"/>
        <w:gridCol w:w="4680"/>
      </w:tblGrid>
      <w:tr w:rsidR="00FC078F" w14:paraId="3163C833" w14:textId="77777777">
        <w:tc>
          <w:tcPr>
            <w:tcW w:w="4680" w:type="dxa"/>
            <w:shd w:val="clear" w:color="auto" w:fill="D9EAF7"/>
          </w:tcPr>
          <w:p w14:paraId="4AA6D828" w14:textId="77777777" w:rsidR="00FC078F" w:rsidRDefault="00000000">
            <w:pPr>
              <w:spacing w:line="240" w:lineRule="auto"/>
            </w:pPr>
            <w:r>
              <w:rPr>
                <w:b/>
                <w:sz w:val="20"/>
              </w:rPr>
              <w:t>Risk</w:t>
            </w:r>
          </w:p>
        </w:tc>
        <w:tc>
          <w:tcPr>
            <w:tcW w:w="4680" w:type="dxa"/>
            <w:shd w:val="clear" w:color="auto" w:fill="D9EAF7"/>
          </w:tcPr>
          <w:p w14:paraId="7DBF5D1B" w14:textId="77777777" w:rsidR="00FC078F" w:rsidRDefault="00000000">
            <w:pPr>
              <w:spacing w:line="240" w:lineRule="auto"/>
            </w:pPr>
            <w:r>
              <w:rPr>
                <w:b/>
                <w:sz w:val="20"/>
              </w:rPr>
              <w:t>Response</w:t>
            </w:r>
          </w:p>
        </w:tc>
      </w:tr>
      <w:tr w:rsidR="00FC078F" w14:paraId="4D0A29FC" w14:textId="77777777">
        <w:tc>
          <w:tcPr>
            <w:tcW w:w="4680" w:type="dxa"/>
          </w:tcPr>
          <w:p w14:paraId="5C041BE0" w14:textId="77777777" w:rsidR="00FC078F" w:rsidRDefault="00000000">
            <w:pPr>
              <w:spacing w:line="240" w:lineRule="auto"/>
            </w:pPr>
            <w:r>
              <w:rPr>
                <w:sz w:val="20"/>
              </w:rPr>
              <w:t>Loss of young practitioners</w:t>
            </w:r>
          </w:p>
        </w:tc>
        <w:tc>
          <w:tcPr>
            <w:tcW w:w="4680" w:type="dxa"/>
          </w:tcPr>
          <w:p w14:paraId="24AE47EE" w14:textId="77777777" w:rsidR="00FC078F" w:rsidRDefault="00000000">
            <w:pPr>
              <w:spacing w:line="240" w:lineRule="auto"/>
            </w:pPr>
            <w:r>
              <w:rPr>
                <w:sz w:val="20"/>
              </w:rPr>
              <w:t>Apprenticeship stipends and school based practitioner workshops</w:t>
            </w:r>
          </w:p>
        </w:tc>
      </w:tr>
      <w:tr w:rsidR="00FC078F" w14:paraId="7357EB20" w14:textId="77777777">
        <w:tc>
          <w:tcPr>
            <w:tcW w:w="4680" w:type="dxa"/>
          </w:tcPr>
          <w:p w14:paraId="19F98F0D" w14:textId="77777777" w:rsidR="00FC078F" w:rsidRDefault="00000000">
            <w:pPr>
              <w:spacing w:line="240" w:lineRule="auto"/>
            </w:pPr>
            <w:r>
              <w:rPr>
                <w:sz w:val="20"/>
              </w:rPr>
              <w:t>Commercial misuse</w:t>
            </w:r>
          </w:p>
        </w:tc>
        <w:tc>
          <w:tcPr>
            <w:tcW w:w="4680" w:type="dxa"/>
          </w:tcPr>
          <w:p w14:paraId="15F1ABC9" w14:textId="77777777" w:rsidR="00FC078F" w:rsidRDefault="00000000">
            <w:pPr>
              <w:spacing w:line="240" w:lineRule="auto"/>
            </w:pPr>
            <w:r>
              <w:rPr>
                <w:sz w:val="20"/>
              </w:rPr>
              <w:t>Community consent, cooperative marketing and fair payment rules</w:t>
            </w:r>
          </w:p>
        </w:tc>
      </w:tr>
      <w:tr w:rsidR="00FC078F" w14:paraId="32E969B8" w14:textId="77777777">
        <w:tc>
          <w:tcPr>
            <w:tcW w:w="4680" w:type="dxa"/>
          </w:tcPr>
          <w:p w14:paraId="0EE411CE" w14:textId="77777777" w:rsidR="00FC078F" w:rsidRDefault="00000000">
            <w:pPr>
              <w:spacing w:line="240" w:lineRule="auto"/>
            </w:pPr>
            <w:r>
              <w:rPr>
                <w:sz w:val="20"/>
              </w:rPr>
              <w:t>Digital appropriation</w:t>
            </w:r>
          </w:p>
        </w:tc>
        <w:tc>
          <w:tcPr>
            <w:tcW w:w="4680" w:type="dxa"/>
          </w:tcPr>
          <w:p w14:paraId="5E8BC3F5" w14:textId="77777777" w:rsidR="00FC078F" w:rsidRDefault="00000000">
            <w:pPr>
              <w:spacing w:line="240" w:lineRule="auto"/>
            </w:pPr>
            <w:r>
              <w:rPr>
                <w:sz w:val="20"/>
              </w:rPr>
              <w:t>Cultural protocols for access, recording and reuse</w:t>
            </w:r>
          </w:p>
        </w:tc>
      </w:tr>
      <w:tr w:rsidR="00FC078F" w14:paraId="3758D7E4" w14:textId="77777777">
        <w:tc>
          <w:tcPr>
            <w:tcW w:w="4680" w:type="dxa"/>
          </w:tcPr>
          <w:p w14:paraId="3F8977E8" w14:textId="77777777" w:rsidR="00FC078F" w:rsidRDefault="00000000">
            <w:pPr>
              <w:spacing w:line="240" w:lineRule="auto"/>
            </w:pPr>
            <w:r>
              <w:rPr>
                <w:sz w:val="20"/>
              </w:rPr>
              <w:t>Migration</w:t>
            </w:r>
          </w:p>
        </w:tc>
        <w:tc>
          <w:tcPr>
            <w:tcW w:w="4680" w:type="dxa"/>
          </w:tcPr>
          <w:p w14:paraId="17C9E4BD" w14:textId="77777777" w:rsidR="00FC078F" w:rsidRDefault="00000000">
            <w:pPr>
              <w:spacing w:line="240" w:lineRule="auto"/>
            </w:pPr>
            <w:r>
              <w:rPr>
                <w:sz w:val="20"/>
              </w:rPr>
              <w:t>Diaspora cultural networks and online learning controlled by bearers</w:t>
            </w:r>
          </w:p>
        </w:tc>
      </w:tr>
      <w:tr w:rsidR="00FC078F" w14:paraId="613C7033" w14:textId="77777777">
        <w:tc>
          <w:tcPr>
            <w:tcW w:w="4680" w:type="dxa"/>
          </w:tcPr>
          <w:p w14:paraId="665F0644" w14:textId="77777777" w:rsidR="00FC078F" w:rsidRDefault="00000000">
            <w:pPr>
              <w:spacing w:line="240" w:lineRule="auto"/>
            </w:pPr>
            <w:r>
              <w:rPr>
                <w:sz w:val="20"/>
              </w:rPr>
              <w:t>Material scarcity</w:t>
            </w:r>
          </w:p>
        </w:tc>
        <w:tc>
          <w:tcPr>
            <w:tcW w:w="4680" w:type="dxa"/>
          </w:tcPr>
          <w:p w14:paraId="668040A2" w14:textId="77777777" w:rsidR="00FC078F" w:rsidRDefault="00000000">
            <w:pPr>
              <w:spacing w:line="240" w:lineRule="auto"/>
            </w:pPr>
            <w:r>
              <w:rPr>
                <w:sz w:val="20"/>
              </w:rPr>
              <w:t>Sustainable supply chains and protection of traditional resource areas</w:t>
            </w:r>
          </w:p>
        </w:tc>
      </w:tr>
    </w:tbl>
    <w:p w14:paraId="66A93D33" w14:textId="77777777" w:rsidR="00FC078F" w:rsidRDefault="00FC078F"/>
    <w:sectPr w:rsidR="00FC078F"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438223" w14:textId="77777777" w:rsidR="00425C38" w:rsidRDefault="00425C38">
      <w:pPr>
        <w:spacing w:line="240" w:lineRule="auto"/>
      </w:pPr>
      <w:r>
        <w:separator/>
      </w:r>
    </w:p>
  </w:endnote>
  <w:endnote w:type="continuationSeparator" w:id="0">
    <w:p w14:paraId="37716F1A" w14:textId="77777777" w:rsidR="00425C38" w:rsidRDefault="00425C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1609C" w14:textId="77777777" w:rsidR="00FC078F" w:rsidRDefault="00000000">
    <w:pPr>
      <w:pStyle w:val="Footer"/>
      <w:jc w:val="center"/>
    </w:pPr>
    <w:r>
      <w:fldChar w:fldCharType="begin"/>
    </w:r>
    <w:r>
      <w:instrText>PAGE</w:instrText>
    </w:r>
    <w:r w:rsidR="00712AC3">
      <w:fldChar w:fldCharType="separate"/>
    </w:r>
    <w:r w:rsidR="00712AC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32823" w14:textId="77777777" w:rsidR="00425C38" w:rsidRDefault="00425C38">
      <w:pPr>
        <w:spacing w:line="240" w:lineRule="auto"/>
      </w:pPr>
      <w:r>
        <w:separator/>
      </w:r>
    </w:p>
  </w:footnote>
  <w:footnote w:type="continuationSeparator" w:id="0">
    <w:p w14:paraId="6CA212C0" w14:textId="77777777" w:rsidR="00425C38" w:rsidRDefault="00425C3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55166319">
    <w:abstractNumId w:val="8"/>
  </w:num>
  <w:num w:numId="2" w16cid:durableId="1344671499">
    <w:abstractNumId w:val="6"/>
  </w:num>
  <w:num w:numId="3" w16cid:durableId="1768693404">
    <w:abstractNumId w:val="5"/>
  </w:num>
  <w:num w:numId="4" w16cid:durableId="1935942874">
    <w:abstractNumId w:val="4"/>
  </w:num>
  <w:num w:numId="5" w16cid:durableId="1617982641">
    <w:abstractNumId w:val="7"/>
  </w:num>
  <w:num w:numId="6" w16cid:durableId="296499360">
    <w:abstractNumId w:val="3"/>
  </w:num>
  <w:num w:numId="7" w16cid:durableId="1390228698">
    <w:abstractNumId w:val="2"/>
  </w:num>
  <w:num w:numId="8" w16cid:durableId="127286026">
    <w:abstractNumId w:val="1"/>
  </w:num>
  <w:num w:numId="9" w16cid:durableId="1730306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25C38"/>
    <w:rsid w:val="00712AC3"/>
    <w:rsid w:val="00AA1D8D"/>
    <w:rsid w:val="00B47730"/>
    <w:rsid w:val="00CB0664"/>
    <w:rsid w:val="00CE744F"/>
    <w:rsid w:val="00FC078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4E4FFF"/>
  <w14:defaultImageDpi w14:val="300"/>
  <w15:docId w15:val="{D3BAB072-C02A-4265-BF40-9EBC9572C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5036</Words>
  <Characters>28710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33679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Intangible Cultural Heritage and Community Participation: Safeguarding Living Traditions for Future Generations</dc:title>
  <dc:subject>M22 Cultural Heritage Management</dc:subject>
  <dc:creator>Student</dc:creator>
  <cp:keywords/>
  <dc:description>generated by python-docx</dc:description>
  <cp:lastModifiedBy>Priyansh singh</cp:lastModifiedBy>
  <cp:revision>2</cp:revision>
  <dcterms:created xsi:type="dcterms:W3CDTF">2013-12-23T23:15:00Z</dcterms:created>
  <dcterms:modified xsi:type="dcterms:W3CDTF">2026-05-18T13:43:00Z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5e448b96-799b-4ac0-aa90-54505d8c27e5</vt:lpwstr>
  </property>
</Properties>
</file>