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6CC4D" w14:textId="77777777" w:rsidR="005011D8" w:rsidRPr="005011D8" w:rsidRDefault="005011D8" w:rsidP="005011D8">
      <w:pPr>
        <w:jc w:val="center"/>
        <w:rPr>
          <w:b/>
          <w:bCs/>
          <w:sz w:val="32"/>
          <w:szCs w:val="32"/>
          <w:lang w:val="en-GB"/>
        </w:rPr>
      </w:pPr>
    </w:p>
    <w:p w14:paraId="35C27BB7" w14:textId="77777777" w:rsidR="005011D8" w:rsidRPr="005011D8" w:rsidRDefault="005011D8" w:rsidP="005011D8">
      <w:pPr>
        <w:jc w:val="center"/>
        <w:rPr>
          <w:b/>
          <w:bCs/>
          <w:sz w:val="32"/>
          <w:szCs w:val="32"/>
          <w:lang w:val="en-GB"/>
        </w:rPr>
      </w:pPr>
    </w:p>
    <w:p w14:paraId="7EA96A1C" w14:textId="77777777" w:rsidR="005011D8" w:rsidRPr="005011D8" w:rsidRDefault="005011D8" w:rsidP="005011D8">
      <w:pPr>
        <w:jc w:val="center"/>
        <w:rPr>
          <w:b/>
          <w:bCs/>
          <w:sz w:val="32"/>
          <w:szCs w:val="32"/>
          <w:lang w:val="en-GB"/>
        </w:rPr>
      </w:pPr>
    </w:p>
    <w:p w14:paraId="19858A2B" w14:textId="77777777" w:rsidR="005011D8" w:rsidRPr="005011D8" w:rsidRDefault="005011D8" w:rsidP="005011D8">
      <w:pPr>
        <w:jc w:val="center"/>
        <w:rPr>
          <w:b/>
          <w:bCs/>
          <w:sz w:val="32"/>
          <w:szCs w:val="32"/>
          <w:lang w:val="en-GB"/>
        </w:rPr>
      </w:pPr>
    </w:p>
    <w:p w14:paraId="5F4CBB1B" w14:textId="77777777" w:rsidR="005011D8" w:rsidRPr="005011D8" w:rsidRDefault="005011D8" w:rsidP="005011D8">
      <w:pPr>
        <w:jc w:val="center"/>
        <w:rPr>
          <w:b/>
          <w:bCs/>
          <w:sz w:val="32"/>
          <w:szCs w:val="32"/>
          <w:lang w:val="en-GB"/>
        </w:rPr>
      </w:pPr>
    </w:p>
    <w:p w14:paraId="732CB819" w14:textId="77777777" w:rsidR="005011D8" w:rsidRPr="005011D8" w:rsidRDefault="005011D8" w:rsidP="005011D8">
      <w:pPr>
        <w:jc w:val="center"/>
        <w:rPr>
          <w:b/>
          <w:bCs/>
          <w:sz w:val="32"/>
          <w:szCs w:val="32"/>
          <w:lang w:val="en-GB"/>
        </w:rPr>
      </w:pPr>
    </w:p>
    <w:p w14:paraId="277B71AF" w14:textId="77777777" w:rsidR="005011D8" w:rsidRPr="005011D8" w:rsidRDefault="005011D8" w:rsidP="005011D8">
      <w:pPr>
        <w:jc w:val="center"/>
        <w:rPr>
          <w:b/>
          <w:bCs/>
          <w:sz w:val="32"/>
          <w:szCs w:val="32"/>
          <w:lang w:val="en-GB"/>
        </w:rPr>
      </w:pPr>
    </w:p>
    <w:p w14:paraId="20D6CA26" w14:textId="77777777" w:rsidR="005011D8" w:rsidRPr="005011D8" w:rsidRDefault="005011D8" w:rsidP="005011D8">
      <w:pPr>
        <w:spacing w:after="160" w:line="259" w:lineRule="auto"/>
        <w:jc w:val="center"/>
        <w:rPr>
          <w:b/>
          <w:bCs/>
          <w:sz w:val="32"/>
          <w:szCs w:val="32"/>
          <w:lang w:val="en-GB"/>
        </w:rPr>
      </w:pPr>
    </w:p>
    <w:p w14:paraId="512F895B" w14:textId="21B1109B" w:rsidR="005011D8" w:rsidRPr="00D47FDB" w:rsidRDefault="005011D8" w:rsidP="005011D8">
      <w:pPr>
        <w:spacing w:after="160" w:line="259" w:lineRule="auto"/>
        <w:jc w:val="center"/>
        <w:rPr>
          <w:rFonts w:ascii="Arial" w:eastAsiaTheme="majorEastAsia" w:hAnsi="Arial" w:cs="Arial"/>
          <w:b/>
          <w:sz w:val="32"/>
          <w:szCs w:val="32"/>
          <w:lang w:val="en-GB"/>
        </w:rPr>
      </w:pPr>
      <w:r w:rsidRPr="00D47FDB">
        <w:rPr>
          <w:rFonts w:ascii="Arial" w:hAnsi="Arial" w:cs="Arial"/>
          <w:b/>
          <w:bCs/>
          <w:sz w:val="32"/>
          <w:szCs w:val="32"/>
          <w:lang w:val="en-GB"/>
        </w:rPr>
        <w:t>PLANNING AND MANAGEMENT OF SUSTAINABLE TOURISM SPACES</w:t>
      </w:r>
      <w:r w:rsidRPr="00D47FDB">
        <w:rPr>
          <w:rFonts w:ascii="Arial" w:hAnsi="Arial" w:cs="Arial"/>
          <w:sz w:val="32"/>
          <w:szCs w:val="32"/>
          <w:lang w:val="en-GB"/>
        </w:rPr>
        <w:t xml:space="preserve"> </w:t>
      </w:r>
      <w:r w:rsidRPr="00D47FDB">
        <w:rPr>
          <w:rFonts w:ascii="Arial" w:hAnsi="Arial" w:cs="Arial"/>
          <w:sz w:val="32"/>
          <w:szCs w:val="32"/>
          <w:lang w:val="en-GB"/>
        </w:rPr>
        <w:br w:type="page"/>
      </w:r>
    </w:p>
    <w:sdt>
      <w:sdtPr>
        <w:rPr>
          <w:rFonts w:ascii="Times New Roman" w:eastAsiaTheme="minorHAnsi" w:hAnsi="Times New Roman" w:cstheme="minorBidi"/>
          <w:color w:val="auto"/>
          <w:sz w:val="24"/>
          <w:lang w:val="en"/>
        </w:rPr>
        <w:id w:val="-2040188169"/>
        <w:docPartObj>
          <w:docPartGallery w:val="Table of Contents"/>
          <w:docPartUnique/>
        </w:docPartObj>
      </w:sdtPr>
      <w:sdtEndPr>
        <w:rPr>
          <w:b/>
          <w:bCs/>
          <w:noProof/>
        </w:rPr>
      </w:sdtEndPr>
      <w:sdtContent>
        <w:p w14:paraId="544810CF" w14:textId="34DA8669" w:rsidR="005011D8" w:rsidRPr="004174FE" w:rsidRDefault="005011D8" w:rsidP="004174FE">
          <w:pPr>
            <w:pStyle w:val="TOCHeading"/>
            <w:jc w:val="center"/>
            <w:rPr>
              <w:rFonts w:ascii="Arial" w:hAnsi="Arial" w:cs="Arial"/>
              <w:b/>
              <w:bCs/>
              <w:color w:val="0D0D0D" w:themeColor="text1" w:themeTint="F2"/>
              <w:sz w:val="28"/>
              <w:szCs w:val="28"/>
            </w:rPr>
          </w:pPr>
          <w:r w:rsidRPr="004174FE">
            <w:rPr>
              <w:rFonts w:ascii="Arial" w:hAnsi="Arial" w:cs="Arial"/>
              <w:b/>
              <w:bCs/>
              <w:color w:val="0D0D0D" w:themeColor="text1" w:themeTint="F2"/>
              <w:sz w:val="28"/>
              <w:szCs w:val="28"/>
            </w:rPr>
            <w:t>Table of Contents</w:t>
          </w:r>
        </w:p>
        <w:p w14:paraId="50095EB4" w14:textId="1EA6B638" w:rsidR="00A54435" w:rsidRPr="004174FE" w:rsidRDefault="005011D8">
          <w:pPr>
            <w:pStyle w:val="TOC1"/>
            <w:tabs>
              <w:tab w:val="right" w:leader="dot" w:pos="9350"/>
            </w:tabs>
            <w:rPr>
              <w:rFonts w:ascii="Arial" w:eastAsiaTheme="minorEastAsia" w:hAnsi="Arial" w:cs="Arial"/>
              <w:noProof/>
              <w:kern w:val="2"/>
              <w:lang w:val="en-US"/>
              <w14:ligatures w14:val="standardContextual"/>
            </w:rPr>
          </w:pPr>
          <w:r w:rsidRPr="004174FE">
            <w:rPr>
              <w:rFonts w:ascii="Arial" w:hAnsi="Arial" w:cs="Arial"/>
            </w:rPr>
            <w:fldChar w:fldCharType="begin"/>
          </w:r>
          <w:r w:rsidRPr="004174FE">
            <w:rPr>
              <w:rFonts w:ascii="Arial" w:hAnsi="Arial" w:cs="Arial"/>
            </w:rPr>
            <w:instrText xml:space="preserve"> TOC \o "1-3" \h \z \u </w:instrText>
          </w:r>
          <w:r w:rsidRPr="004174FE">
            <w:rPr>
              <w:rFonts w:ascii="Arial" w:hAnsi="Arial" w:cs="Arial"/>
            </w:rPr>
            <w:fldChar w:fldCharType="separate"/>
          </w:r>
          <w:hyperlink w:anchor="_Toc209782790" w:history="1">
            <w:r w:rsidR="00A54435" w:rsidRPr="004174FE">
              <w:rPr>
                <w:rStyle w:val="Hyperlink"/>
                <w:rFonts w:ascii="Arial" w:hAnsi="Arial" w:cs="Arial"/>
                <w:noProof/>
                <w:lang w:val="en-GB"/>
              </w:rPr>
              <w:t>Task 1- Applying the United Nations Sustainable Development Goals to Kyoto, Japan</w:t>
            </w:r>
            <w:r w:rsidR="00A54435" w:rsidRPr="004174FE">
              <w:rPr>
                <w:rFonts w:ascii="Arial" w:hAnsi="Arial" w:cs="Arial"/>
                <w:noProof/>
                <w:webHidden/>
              </w:rPr>
              <w:tab/>
            </w:r>
            <w:r w:rsidR="00A54435" w:rsidRPr="004174FE">
              <w:rPr>
                <w:rFonts w:ascii="Arial" w:hAnsi="Arial" w:cs="Arial"/>
                <w:noProof/>
                <w:webHidden/>
              </w:rPr>
              <w:fldChar w:fldCharType="begin"/>
            </w:r>
            <w:r w:rsidR="00A54435" w:rsidRPr="004174FE">
              <w:rPr>
                <w:rFonts w:ascii="Arial" w:hAnsi="Arial" w:cs="Arial"/>
                <w:noProof/>
                <w:webHidden/>
              </w:rPr>
              <w:instrText xml:space="preserve"> PAGEREF _Toc209782790 \h </w:instrText>
            </w:r>
            <w:r w:rsidR="00A54435" w:rsidRPr="004174FE">
              <w:rPr>
                <w:rFonts w:ascii="Arial" w:hAnsi="Arial" w:cs="Arial"/>
                <w:noProof/>
                <w:webHidden/>
              </w:rPr>
            </w:r>
            <w:r w:rsidR="00A54435" w:rsidRPr="004174FE">
              <w:rPr>
                <w:rFonts w:ascii="Arial" w:hAnsi="Arial" w:cs="Arial"/>
                <w:noProof/>
                <w:webHidden/>
              </w:rPr>
              <w:fldChar w:fldCharType="separate"/>
            </w:r>
            <w:r w:rsidR="00A54435" w:rsidRPr="004174FE">
              <w:rPr>
                <w:rFonts w:ascii="Arial" w:hAnsi="Arial" w:cs="Arial"/>
                <w:noProof/>
                <w:webHidden/>
              </w:rPr>
              <w:t>3</w:t>
            </w:r>
            <w:r w:rsidR="00A54435" w:rsidRPr="004174FE">
              <w:rPr>
                <w:rFonts w:ascii="Arial" w:hAnsi="Arial" w:cs="Arial"/>
                <w:noProof/>
                <w:webHidden/>
              </w:rPr>
              <w:fldChar w:fldCharType="end"/>
            </w:r>
          </w:hyperlink>
        </w:p>
        <w:p w14:paraId="12830479" w14:textId="02ECE62E" w:rsidR="00A54435" w:rsidRPr="004174FE" w:rsidRDefault="00A54435">
          <w:pPr>
            <w:pStyle w:val="TOC1"/>
            <w:tabs>
              <w:tab w:val="right" w:leader="dot" w:pos="9350"/>
            </w:tabs>
            <w:rPr>
              <w:rFonts w:ascii="Arial" w:eastAsiaTheme="minorEastAsia" w:hAnsi="Arial" w:cs="Arial"/>
              <w:noProof/>
              <w:kern w:val="2"/>
              <w:lang w:val="en-US"/>
              <w14:ligatures w14:val="standardContextual"/>
            </w:rPr>
          </w:pPr>
          <w:hyperlink w:anchor="_Toc209782791" w:history="1">
            <w:r w:rsidRPr="004174FE">
              <w:rPr>
                <w:rStyle w:val="Hyperlink"/>
                <w:rFonts w:ascii="Arial" w:hAnsi="Arial" w:cs="Arial"/>
                <w:noProof/>
                <w:lang w:val="en-GB"/>
              </w:rPr>
              <w:t>Task 2- Sustainable Tourism Development and the Protection of Local Heritage in Kyoto, Japan</w:t>
            </w:r>
            <w:r w:rsidRPr="004174FE">
              <w:rPr>
                <w:rFonts w:ascii="Arial" w:hAnsi="Arial" w:cs="Arial"/>
                <w:noProof/>
                <w:webHidden/>
              </w:rPr>
              <w:tab/>
            </w:r>
            <w:r w:rsidRPr="004174FE">
              <w:rPr>
                <w:rFonts w:ascii="Arial" w:hAnsi="Arial" w:cs="Arial"/>
                <w:noProof/>
                <w:webHidden/>
              </w:rPr>
              <w:fldChar w:fldCharType="begin"/>
            </w:r>
            <w:r w:rsidRPr="004174FE">
              <w:rPr>
                <w:rFonts w:ascii="Arial" w:hAnsi="Arial" w:cs="Arial"/>
                <w:noProof/>
                <w:webHidden/>
              </w:rPr>
              <w:instrText xml:space="preserve"> PAGEREF _Toc209782791 \h </w:instrText>
            </w:r>
            <w:r w:rsidRPr="004174FE">
              <w:rPr>
                <w:rFonts w:ascii="Arial" w:hAnsi="Arial" w:cs="Arial"/>
                <w:noProof/>
                <w:webHidden/>
              </w:rPr>
            </w:r>
            <w:r w:rsidRPr="004174FE">
              <w:rPr>
                <w:rFonts w:ascii="Arial" w:hAnsi="Arial" w:cs="Arial"/>
                <w:noProof/>
                <w:webHidden/>
              </w:rPr>
              <w:fldChar w:fldCharType="separate"/>
            </w:r>
            <w:r w:rsidRPr="004174FE">
              <w:rPr>
                <w:rFonts w:ascii="Arial" w:hAnsi="Arial" w:cs="Arial"/>
                <w:noProof/>
                <w:webHidden/>
              </w:rPr>
              <w:t>5</w:t>
            </w:r>
            <w:r w:rsidRPr="004174FE">
              <w:rPr>
                <w:rFonts w:ascii="Arial" w:hAnsi="Arial" w:cs="Arial"/>
                <w:noProof/>
                <w:webHidden/>
              </w:rPr>
              <w:fldChar w:fldCharType="end"/>
            </w:r>
          </w:hyperlink>
        </w:p>
        <w:p w14:paraId="474F4AB5" w14:textId="25A7D014" w:rsidR="00A54435" w:rsidRPr="004174FE" w:rsidRDefault="00A54435">
          <w:pPr>
            <w:pStyle w:val="TOC1"/>
            <w:tabs>
              <w:tab w:val="right" w:leader="dot" w:pos="9350"/>
            </w:tabs>
            <w:rPr>
              <w:rFonts w:ascii="Arial" w:eastAsiaTheme="minorEastAsia" w:hAnsi="Arial" w:cs="Arial"/>
              <w:noProof/>
              <w:kern w:val="2"/>
              <w:lang w:val="en-US"/>
              <w14:ligatures w14:val="standardContextual"/>
            </w:rPr>
          </w:pPr>
          <w:hyperlink w:anchor="_Toc209782792" w:history="1">
            <w:r w:rsidRPr="004174FE">
              <w:rPr>
                <w:rStyle w:val="Hyperlink"/>
                <w:rFonts w:ascii="Arial" w:hAnsi="Arial" w:cs="Arial"/>
                <w:noProof/>
                <w:lang w:val="en-GB"/>
              </w:rPr>
              <w:t>References</w:t>
            </w:r>
            <w:r w:rsidRPr="004174FE">
              <w:rPr>
                <w:rFonts w:ascii="Arial" w:hAnsi="Arial" w:cs="Arial"/>
                <w:noProof/>
                <w:webHidden/>
              </w:rPr>
              <w:tab/>
            </w:r>
            <w:r w:rsidRPr="004174FE">
              <w:rPr>
                <w:rFonts w:ascii="Arial" w:hAnsi="Arial" w:cs="Arial"/>
                <w:noProof/>
                <w:webHidden/>
              </w:rPr>
              <w:fldChar w:fldCharType="begin"/>
            </w:r>
            <w:r w:rsidRPr="004174FE">
              <w:rPr>
                <w:rFonts w:ascii="Arial" w:hAnsi="Arial" w:cs="Arial"/>
                <w:noProof/>
                <w:webHidden/>
              </w:rPr>
              <w:instrText xml:space="preserve"> PAGEREF _Toc209782792 \h </w:instrText>
            </w:r>
            <w:r w:rsidRPr="004174FE">
              <w:rPr>
                <w:rFonts w:ascii="Arial" w:hAnsi="Arial" w:cs="Arial"/>
                <w:noProof/>
                <w:webHidden/>
              </w:rPr>
            </w:r>
            <w:r w:rsidRPr="004174FE">
              <w:rPr>
                <w:rFonts w:ascii="Arial" w:hAnsi="Arial" w:cs="Arial"/>
                <w:noProof/>
                <w:webHidden/>
              </w:rPr>
              <w:fldChar w:fldCharType="separate"/>
            </w:r>
            <w:r w:rsidRPr="004174FE">
              <w:rPr>
                <w:rFonts w:ascii="Arial" w:hAnsi="Arial" w:cs="Arial"/>
                <w:noProof/>
                <w:webHidden/>
              </w:rPr>
              <w:t>9</w:t>
            </w:r>
            <w:r w:rsidRPr="004174FE">
              <w:rPr>
                <w:rFonts w:ascii="Arial" w:hAnsi="Arial" w:cs="Arial"/>
                <w:noProof/>
                <w:webHidden/>
              </w:rPr>
              <w:fldChar w:fldCharType="end"/>
            </w:r>
          </w:hyperlink>
        </w:p>
        <w:p w14:paraId="6BB9C8F6" w14:textId="47F1D6CC" w:rsidR="005011D8" w:rsidRDefault="005011D8">
          <w:r w:rsidRPr="004174FE">
            <w:rPr>
              <w:rFonts w:ascii="Arial" w:hAnsi="Arial" w:cs="Arial"/>
              <w:b/>
              <w:bCs/>
              <w:noProof/>
            </w:rPr>
            <w:fldChar w:fldCharType="end"/>
          </w:r>
        </w:p>
      </w:sdtContent>
    </w:sdt>
    <w:p w14:paraId="63222A36" w14:textId="77777777" w:rsidR="005011D8" w:rsidRDefault="005011D8">
      <w:pPr>
        <w:spacing w:after="160" w:line="259" w:lineRule="auto"/>
        <w:jc w:val="left"/>
        <w:rPr>
          <w:rFonts w:eastAsiaTheme="majorEastAsia" w:cstheme="majorBidi"/>
          <w:b/>
          <w:sz w:val="28"/>
          <w:szCs w:val="32"/>
          <w:lang w:val="en-GB"/>
        </w:rPr>
      </w:pPr>
      <w:r>
        <w:rPr>
          <w:lang w:val="en-GB"/>
        </w:rPr>
        <w:br w:type="page"/>
      </w:r>
    </w:p>
    <w:p w14:paraId="08119146" w14:textId="3E086547" w:rsidR="003A5016" w:rsidRPr="003C37BC" w:rsidRDefault="003A5016" w:rsidP="00DA2EE4">
      <w:pPr>
        <w:pStyle w:val="Heading1"/>
        <w:rPr>
          <w:rFonts w:ascii="Arial" w:hAnsi="Arial" w:cs="Arial"/>
        </w:rPr>
      </w:pPr>
      <w:bookmarkStart w:id="0" w:name="_Toc209782790"/>
      <w:r w:rsidRPr="003C37BC">
        <w:rPr>
          <w:rFonts w:ascii="Arial" w:hAnsi="Arial" w:cs="Arial"/>
        </w:rPr>
        <w:lastRenderedPageBreak/>
        <w:t>Task 1- Applying the United Nations Sustainable Development Goals to Kyoto, Japan</w:t>
      </w:r>
      <w:bookmarkEnd w:id="0"/>
    </w:p>
    <w:p w14:paraId="524C47AB" w14:textId="77777777" w:rsidR="000F66FE" w:rsidRPr="003C37BC" w:rsidRDefault="000F66FE" w:rsidP="000F66FE">
      <w:pPr>
        <w:ind w:firstLine="720"/>
        <w:jc w:val="left"/>
        <w:rPr>
          <w:rFonts w:ascii="Arial" w:hAnsi="Arial" w:cs="Arial"/>
          <w:lang w:val="en-GB"/>
        </w:rPr>
      </w:pPr>
      <w:r w:rsidRPr="003C37BC">
        <w:rPr>
          <w:rFonts w:ascii="Arial" w:hAnsi="Arial" w:cs="Arial"/>
          <w:lang w:val="en-GB"/>
        </w:rPr>
        <w:t xml:space="preserve">Kyoto is a city rich in history, culture, and natural beauty. </w:t>
      </w:r>
      <w:r w:rsidRPr="00764953">
        <w:rPr>
          <w:rFonts w:ascii="Arial" w:hAnsi="Arial" w:cs="Arial"/>
          <w:lang w:val="en-US"/>
        </w:rPr>
        <w:t xml:space="preserve">Kyoto is a premier tourism destination in Japan with millions of visitors annually. The city has temples, shrines, traditional gardens, festivals, and cultural heritage worth highlighting. Sustainable tourism is important for Kyoto to achieve its economic goals without jeopardizing its cultural and environmental values. The Sustainable Development Goals (SDGs) framework established by the United Nations offers guidelines for how to integrate tourism development policy and planning strategy with global sustainability aims. Leveraging these goals in Kyoto would allow Waikiki to achieve a balance in economic, social, and environmental planning in tourism. </w:t>
      </w:r>
    </w:p>
    <w:p w14:paraId="53664E1A" w14:textId="77777777" w:rsidR="000F66FE" w:rsidRPr="00764953" w:rsidRDefault="000F66FE" w:rsidP="000F66FE">
      <w:pPr>
        <w:ind w:firstLine="720"/>
        <w:jc w:val="left"/>
        <w:rPr>
          <w:rFonts w:ascii="Arial" w:hAnsi="Arial" w:cs="Arial"/>
          <w:lang w:val="en-US"/>
        </w:rPr>
      </w:pPr>
      <w:r w:rsidRPr="00764953">
        <w:rPr>
          <w:rFonts w:ascii="Arial" w:hAnsi="Arial" w:cs="Arial"/>
          <w:lang w:val="en-US"/>
        </w:rPr>
        <w:t xml:space="preserve">Goal 8, decent work and economic growth, is very important for Kyoto, partly because tourism is essential for the economic and job creation of the city. The tourism economy is an important source of income and employment for Kyoto. If the city implemented decent work strategies to create sustainable jobs, it would be able to underpin secure and high paying jobs for locals in hotels, restaurants, transportation, and cultural services (Day, Morrison and Coca-Stefaniak, 2021). Programs to develop the skills of tourism workers can develop skills of tourism workers in hospitality management, languages, and cultural interpretation. This would generate tourism jobs that are both abundant and meaningful and sustainable. Supporting local entrepreneurs would be another strategy for sustainable tourism development. Small businesses, such as craft workshops, restaurants, and cultural tours, are more likely to be sustainable with supportive sustained and inclusive economic policy ecosystems. </w:t>
      </w:r>
    </w:p>
    <w:p w14:paraId="16CF1344" w14:textId="77777777" w:rsidR="000F66FE" w:rsidRPr="00764953" w:rsidRDefault="000F66FE" w:rsidP="000F66FE">
      <w:pPr>
        <w:ind w:firstLine="720"/>
        <w:jc w:val="left"/>
        <w:rPr>
          <w:rFonts w:ascii="Arial" w:hAnsi="Arial" w:cs="Arial"/>
          <w:lang w:val="en-US"/>
        </w:rPr>
      </w:pPr>
      <w:r w:rsidRPr="00764953">
        <w:rPr>
          <w:rFonts w:ascii="Arial" w:hAnsi="Arial" w:cs="Arial"/>
          <w:lang w:val="en-US"/>
        </w:rPr>
        <w:t>Goal 11 pertains to sustainable cities and communities. Kyoto must address tourist overcrowding, traffic congestion, and stress on cultural heritage sites. To conform with this goal, the city could consider urban planning strategies that promote pedestrian areas, bike infrastructure, and public transportation (</w:t>
      </w:r>
      <w:proofErr w:type="spellStart"/>
      <w:r w:rsidRPr="00764953">
        <w:rPr>
          <w:rFonts w:ascii="Arial" w:hAnsi="Arial" w:cs="Arial"/>
          <w:lang w:val="en-US"/>
        </w:rPr>
        <w:t>Thommandru</w:t>
      </w:r>
      <w:proofErr w:type="spellEnd"/>
      <w:r w:rsidRPr="00764953">
        <w:rPr>
          <w:rFonts w:ascii="Arial" w:hAnsi="Arial" w:cs="Arial"/>
          <w:lang w:val="en-US"/>
        </w:rPr>
        <w:t xml:space="preserve"> et al., 2023). Zoning laws could be established to protect historic districts and limit success drying up the </w:t>
      </w:r>
      <w:r w:rsidRPr="00764953">
        <w:rPr>
          <w:rFonts w:ascii="Arial" w:hAnsi="Arial" w:cs="Arial"/>
          <w:lang w:val="en-US"/>
        </w:rPr>
        <w:lastRenderedPageBreak/>
        <w:t xml:space="preserve">town. The tourism destination could create sustainable design and energy efficiency standards in tourism areas to contribute to a less detrimental environment. Enhancing the sustainability of urban mobility, and sustaining spatial heritage could enhance the quality of life of residents and the tourists’ experience. </w:t>
      </w:r>
    </w:p>
    <w:p w14:paraId="2122C6AF" w14:textId="77777777" w:rsidR="000F66FE" w:rsidRPr="00764953" w:rsidRDefault="000F66FE" w:rsidP="000F66FE">
      <w:pPr>
        <w:ind w:firstLine="720"/>
        <w:jc w:val="left"/>
        <w:rPr>
          <w:rFonts w:ascii="Arial" w:hAnsi="Arial" w:cs="Arial"/>
          <w:lang w:val="en-US"/>
        </w:rPr>
      </w:pPr>
      <w:r w:rsidRPr="00764953">
        <w:rPr>
          <w:rFonts w:ascii="Arial" w:hAnsi="Arial" w:cs="Arial"/>
          <w:lang w:val="en-US"/>
        </w:rPr>
        <w:t>Goal 12 pertains to responsible consumption and production, which is relevant for tourism organizations in Kyoto. Tourism creates considerable waste, especially, single use plastics, packaging, and food waste. Cities could encourage lodging facilities, restaurants, and shopping centers to adopt sustainability principles. Policy controls on waste control, recycling, and policies that favor business sustainability practices as well</w:t>
      </w:r>
      <w:r w:rsidRPr="003C37BC">
        <w:rPr>
          <w:rFonts w:ascii="Arial" w:hAnsi="Arial" w:cs="Arial"/>
          <w:lang w:val="en-GB"/>
        </w:rPr>
        <w:t xml:space="preserve"> (Arora and Mishra, 2023). Tourists can be educated about sustainable behaviour through signage, guides, and digital platforms. Local cuisine, when produced sustainably, can reduce carbon footprints and support local agriculture. Kyoto’s festivals and cultural events can also adopt eco-friendly practices, including reusable materials and minimal energy consumption. By integrating Goal 12 into tourism planning, the city can ensure that both visitors and businesses contribute to environmental stewardship.</w:t>
      </w:r>
    </w:p>
    <w:p w14:paraId="4E2CFD24" w14:textId="77777777" w:rsidR="000F66FE" w:rsidRPr="0089671A" w:rsidRDefault="000F66FE" w:rsidP="000F66FE">
      <w:pPr>
        <w:ind w:firstLine="720"/>
        <w:jc w:val="left"/>
        <w:rPr>
          <w:rFonts w:ascii="Arial" w:hAnsi="Arial" w:cs="Arial"/>
          <w:lang w:val="en-US"/>
        </w:rPr>
      </w:pPr>
      <w:r w:rsidRPr="003C37BC">
        <w:rPr>
          <w:rFonts w:ascii="Arial" w:hAnsi="Arial" w:cs="Arial"/>
          <w:lang w:val="en-GB"/>
        </w:rPr>
        <w:t>Goal 13, climate action, is critical for Kyoto, given the potential impacts of climate change on tourism. Extreme weather events, rising temperatures, and changes in seasonal patterns could affect both cultural and natural attractions. Kyoto can develop climate adaptation strategies that protect historic sites and natural areas. Energy-efficient transportation, renewable energy in hotels and public facilities, and green infrastructure can mitigate carbon emissions (</w:t>
      </w:r>
      <w:proofErr w:type="spellStart"/>
      <w:r w:rsidRPr="003C37BC">
        <w:rPr>
          <w:rFonts w:ascii="Arial" w:hAnsi="Arial" w:cs="Arial"/>
          <w:lang w:val="en-GB"/>
        </w:rPr>
        <w:t>Gössling</w:t>
      </w:r>
      <w:proofErr w:type="spellEnd"/>
      <w:r w:rsidRPr="003C37BC">
        <w:rPr>
          <w:rFonts w:ascii="Arial" w:hAnsi="Arial" w:cs="Arial"/>
          <w:lang w:val="en-GB"/>
        </w:rPr>
        <w:t xml:space="preserve"> and Higham, 2021). </w:t>
      </w:r>
      <w:r w:rsidRPr="0089671A">
        <w:rPr>
          <w:rFonts w:ascii="Arial" w:hAnsi="Arial" w:cs="Arial"/>
          <w:lang w:val="en-US"/>
        </w:rPr>
        <w:t>Encouraging the use of low carbon tourism types such as cycling tours, walking tours, and public transport modes, can reduce visitors’ overall environmental impact. Engaging researchers and local communities in resilience planning can prep participants and assure Kyoto is a resilient tourism location in the event of climate change impacts.</w:t>
      </w:r>
    </w:p>
    <w:p w14:paraId="2EF8388D" w14:textId="77777777" w:rsidR="000F66FE" w:rsidRPr="00BF137A" w:rsidRDefault="000F66FE" w:rsidP="000F66FE">
      <w:pPr>
        <w:ind w:firstLine="720"/>
        <w:jc w:val="left"/>
        <w:rPr>
          <w:rFonts w:ascii="Arial" w:hAnsi="Arial" w:cs="Arial"/>
          <w:lang w:val="en-US"/>
        </w:rPr>
      </w:pPr>
      <w:r w:rsidRPr="0089671A">
        <w:rPr>
          <w:rFonts w:ascii="Arial" w:hAnsi="Arial" w:cs="Arial"/>
          <w:lang w:val="en-US"/>
        </w:rPr>
        <w:t xml:space="preserve">Goal 15, life on land, is relevant as Kyoto has a combination of natural areas, gardens, and forests that contributes to its cultural importance. </w:t>
      </w:r>
      <w:r w:rsidRPr="00BF137A">
        <w:rPr>
          <w:rFonts w:ascii="Arial" w:hAnsi="Arial" w:cs="Arial"/>
          <w:lang w:val="en-US"/>
        </w:rPr>
        <w:t xml:space="preserve">Besides offering learning </w:t>
      </w:r>
      <w:r w:rsidRPr="00BF137A">
        <w:rPr>
          <w:rFonts w:ascii="Arial" w:hAnsi="Arial" w:cs="Arial"/>
          <w:lang w:val="en-US"/>
        </w:rPr>
        <w:lastRenderedPageBreak/>
        <w:t>services to the tourists, sustainable tourism can help alleviate the negative effects that are being experienced on these environments. These programs involve conservation and the preservation of traditional gardens, conservation of local flora and fauna as well as wild animal tourism establishment and preservation (Baloch et al</w:t>
      </w:r>
      <w:r>
        <w:rPr>
          <w:rFonts w:ascii="Arial" w:hAnsi="Arial" w:cs="Arial"/>
          <w:lang w:val="en-US"/>
        </w:rPr>
        <w:t>.</w:t>
      </w:r>
      <w:r w:rsidRPr="00BF137A">
        <w:rPr>
          <w:rFonts w:ascii="Arial" w:hAnsi="Arial" w:cs="Arial"/>
          <w:lang w:val="en-US"/>
        </w:rPr>
        <w:t>, 2023). The need to explain the importance of biodiversity and cultural landscapes can be presented using guided and interpretive experiences as well. The Kyoto is also able to collaborate with the local communities and institutions which are conservation minded and, in the process, preserve the natural spaces as well as offer environmental education to be part of the tourism experience.</w:t>
      </w:r>
    </w:p>
    <w:p w14:paraId="039E5756" w14:textId="77777777" w:rsidR="000F66FE" w:rsidRPr="0089671A" w:rsidRDefault="000F66FE" w:rsidP="000F66FE">
      <w:pPr>
        <w:ind w:firstLine="720"/>
        <w:jc w:val="left"/>
        <w:rPr>
          <w:rFonts w:ascii="Arial" w:hAnsi="Arial" w:cs="Arial"/>
          <w:lang w:val="en-US"/>
        </w:rPr>
      </w:pPr>
      <w:r w:rsidRPr="00852F25">
        <w:rPr>
          <w:rFonts w:ascii="Arial" w:hAnsi="Arial" w:cs="Arial"/>
          <w:lang w:val="en-US"/>
        </w:rPr>
        <w:t>Lastly, under such narrower objectives, Kyoto may be considering a broader one, the sustainability, as it goes beyond social equity, the inclusion of the community, and cultural preservation. Participating in the plan of actions implemented in the tourism development in partnership with the local people would ensure that the aim of the advancements would be marketed in context to the interests and values of the communities. Combine the activities to internalize the culture education programs of the not only the tourists but also the locals and this will help in generating interest, learning and respect of the local culture and history. Lastly, are consideration and assessment of the impacts of the tourism destinations when the queer is the first step to determining whether or otherwise the latter is generating and capable of generating the impacts of tourism on the latter</w:t>
      </w:r>
      <w:r w:rsidRPr="0089671A">
        <w:rPr>
          <w:rFonts w:ascii="Arial" w:hAnsi="Arial" w:cs="Arial"/>
          <w:lang w:val="en-US"/>
        </w:rPr>
        <w:t>. In order to effectively integrate the SDGs in Kyoto tourism development, action from government, private sector, civil society, and local communities is needed as stakeholders. Public policy should stimulate sustainable business practices and infrastructure development. Socially responsible businesses could implement certification and other green standards and reporting. Local communities can be included in tourism planning, enjoy economic opportunities and preserve cultural and natural resources. Awareness campaigns can target tourists to ensure ethical traveling, that visitors appreciate and care for Kyoto’s heritage and environment.</w:t>
      </w:r>
    </w:p>
    <w:p w14:paraId="6C89371C" w14:textId="77777777" w:rsidR="000F66FE" w:rsidRPr="0089671A" w:rsidRDefault="000F66FE" w:rsidP="000F66FE">
      <w:pPr>
        <w:ind w:firstLine="720"/>
        <w:jc w:val="left"/>
        <w:rPr>
          <w:rFonts w:ascii="Arial" w:hAnsi="Arial" w:cs="Arial"/>
          <w:lang w:val="en-US"/>
        </w:rPr>
      </w:pPr>
      <w:r w:rsidRPr="003C37BC">
        <w:rPr>
          <w:rFonts w:ascii="Arial" w:hAnsi="Arial" w:cs="Arial"/>
          <w:lang w:val="en-GB"/>
        </w:rPr>
        <w:lastRenderedPageBreak/>
        <w:t xml:space="preserve">In conclusion, </w:t>
      </w:r>
      <w:r w:rsidRPr="0089671A">
        <w:rPr>
          <w:rFonts w:ascii="Arial" w:hAnsi="Arial" w:cs="Arial"/>
          <w:lang w:val="en-US"/>
        </w:rPr>
        <w:t xml:space="preserve">Kyoto’s tourism industry has great potential for sustainable development if it aligns with the United Nations Sustainable Development Goals. The chosen goals, 8, 11, 12, 13, and 15, focus on achieving economic growth, urban sustainability, responsible consumption, climate action, and safeguarding ecosystems. By implementing policies, strategies, and practices that align with the selected goals, Kyoto has the potential for the harmonious approach to tourism that retains heritage and improves quality of life for residents, while providing an exceptional experience for its tourists. Sustainable tourism planning in Kyoto not only supports the overall sustainability goals in the world, but it promotes the sustainability of Kyoto as a cultural and natural destination into the foreseeable future. </w:t>
      </w:r>
      <w:r w:rsidRPr="00C27724">
        <w:rPr>
          <w:rFonts w:ascii="Arial" w:hAnsi="Arial" w:cs="Arial"/>
          <w:lang w:val="en-US"/>
        </w:rPr>
        <w:t>Kyoto can be the first as well and set the example to other tourism destinations to use SDGs to develop tourism without violating cultural integrity and environmental protection. Kyoto believes that the tourism can become a blessing to a city and it can be a part of the sustainable development</w:t>
      </w:r>
      <w:r w:rsidRPr="0089671A">
        <w:rPr>
          <w:rFonts w:ascii="Arial" w:hAnsi="Arial" w:cs="Arial"/>
          <w:lang w:val="en-US"/>
        </w:rPr>
        <w:t>.</w:t>
      </w:r>
    </w:p>
    <w:p w14:paraId="67142834" w14:textId="77777777" w:rsidR="000F66FE" w:rsidRPr="003C37BC" w:rsidRDefault="000F66FE" w:rsidP="000F66FE">
      <w:pPr>
        <w:pStyle w:val="Heading1"/>
        <w:rPr>
          <w:rFonts w:ascii="Arial" w:hAnsi="Arial" w:cs="Arial"/>
        </w:rPr>
      </w:pPr>
      <w:bookmarkStart w:id="1" w:name="_Toc209782791"/>
      <w:r w:rsidRPr="003C37BC">
        <w:rPr>
          <w:rFonts w:ascii="Arial" w:hAnsi="Arial" w:cs="Arial"/>
        </w:rPr>
        <w:t>Task 2- Sustainable Tourism Development and the Protection of Local Heritage in Kyoto, Japan</w:t>
      </w:r>
      <w:bookmarkEnd w:id="1"/>
    </w:p>
    <w:p w14:paraId="0B5736A0" w14:textId="77777777" w:rsidR="000F66FE" w:rsidRPr="0089671A" w:rsidRDefault="000F66FE" w:rsidP="000F66FE">
      <w:pPr>
        <w:ind w:firstLine="720"/>
        <w:jc w:val="left"/>
        <w:rPr>
          <w:rFonts w:ascii="Arial" w:hAnsi="Arial" w:cs="Arial"/>
          <w:lang w:val="en-US"/>
        </w:rPr>
      </w:pPr>
      <w:r w:rsidRPr="0089671A">
        <w:rPr>
          <w:rFonts w:ascii="Arial" w:hAnsi="Arial" w:cs="Arial"/>
          <w:lang w:val="en-US"/>
        </w:rPr>
        <w:t xml:space="preserve">Kyoto has a historic, traditional, and cultural basis. </w:t>
      </w:r>
      <w:r>
        <w:rPr>
          <w:rFonts w:ascii="Arial" w:hAnsi="Arial" w:cs="Arial"/>
          <w:lang w:val="en-US"/>
        </w:rPr>
        <w:t xml:space="preserve">They </w:t>
      </w:r>
      <w:r w:rsidRPr="0089671A">
        <w:rPr>
          <w:rFonts w:ascii="Arial" w:hAnsi="Arial" w:cs="Arial"/>
          <w:lang w:val="en-US"/>
        </w:rPr>
        <w:t xml:space="preserve">have more than two thousand temples and shrines, and traditional wooden houses and </w:t>
      </w:r>
      <w:r w:rsidRPr="003C37BC">
        <w:rPr>
          <w:rFonts w:ascii="Arial" w:hAnsi="Arial" w:cs="Arial"/>
          <w:lang w:val="en-GB"/>
        </w:rPr>
        <w:t>centuries-old gardens</w:t>
      </w:r>
      <w:r w:rsidRPr="0089671A">
        <w:rPr>
          <w:rFonts w:ascii="Arial" w:hAnsi="Arial" w:cs="Arial"/>
          <w:lang w:val="en-US"/>
        </w:rPr>
        <w:t xml:space="preserve">. Festivals, performing arts, and craft industries are central to its culture. </w:t>
      </w:r>
      <w:r>
        <w:rPr>
          <w:rFonts w:ascii="Arial" w:hAnsi="Arial" w:cs="Arial"/>
          <w:lang w:val="en-US"/>
        </w:rPr>
        <w:t>They</w:t>
      </w:r>
      <w:r w:rsidRPr="0089671A">
        <w:rPr>
          <w:rFonts w:ascii="Arial" w:hAnsi="Arial" w:cs="Arial"/>
          <w:lang w:val="en-US"/>
        </w:rPr>
        <w:t xml:space="preserve"> have millions of tourists in economic importance here every year. However, growth in tourism is a challenge for protecting and promoting local heritage</w:t>
      </w:r>
      <w:r w:rsidRPr="003C37BC">
        <w:rPr>
          <w:rFonts w:ascii="Arial" w:hAnsi="Arial" w:cs="Arial"/>
          <w:lang w:val="en-GB"/>
        </w:rPr>
        <w:t>. Unsustainable practices can lead to the deterioration of historic sites, overcrowding, environmental degradation, and cultural commodification. Sustainable tourism development offers strategies to preserve heritage and traditions while providing authentic experiences for visitors. By prioritizing sustainability, Kyoto can maintain its cultural authenticity and ensure that tourism benefits local communities without exploiting or distorting cultural assets.</w:t>
      </w:r>
    </w:p>
    <w:p w14:paraId="2BD74289" w14:textId="77777777" w:rsidR="000F66FE" w:rsidRPr="003C37BC" w:rsidRDefault="000F66FE" w:rsidP="000F66FE">
      <w:pPr>
        <w:ind w:firstLine="720"/>
        <w:jc w:val="left"/>
        <w:rPr>
          <w:rFonts w:ascii="Arial" w:hAnsi="Arial" w:cs="Arial"/>
          <w:lang w:val="en-GB"/>
        </w:rPr>
      </w:pPr>
      <w:r w:rsidRPr="003C37BC">
        <w:rPr>
          <w:rFonts w:ascii="Arial" w:hAnsi="Arial" w:cs="Arial"/>
          <w:lang w:val="en-GB"/>
        </w:rPr>
        <w:t xml:space="preserve">Sustainable tourism aims to balance economic, social, and environmental objectives. In the context of heritage protection, it emphasizes the preservation of </w:t>
      </w:r>
      <w:r w:rsidRPr="003C37BC">
        <w:rPr>
          <w:rFonts w:ascii="Arial" w:hAnsi="Arial" w:cs="Arial"/>
          <w:lang w:val="en-GB"/>
        </w:rPr>
        <w:lastRenderedPageBreak/>
        <w:t>cultural sites, practices, and knowledge for current and future generations. It encourages tourism practices that are respectful, educational, and supportive of local communities. One key principle is that local residents should have agency in determining how their culture is shared with visitors (Prasad, 2024). This approach prevents the commercialization of traditions purely for profit and allows communities to maintain control over the narrative of their heritage. In Kyoto, sustainable tourism strategies can be applied to temples, traditional neighbourhoods, craft workshops, festivals, and culinary practices.</w:t>
      </w:r>
    </w:p>
    <w:p w14:paraId="7C205443" w14:textId="77777777" w:rsidR="000F66FE" w:rsidRPr="00587D26" w:rsidRDefault="000F66FE" w:rsidP="000F66FE">
      <w:pPr>
        <w:ind w:firstLine="720"/>
        <w:jc w:val="left"/>
        <w:rPr>
          <w:rFonts w:ascii="Arial" w:hAnsi="Arial" w:cs="Arial"/>
          <w:lang w:val="en-US"/>
        </w:rPr>
      </w:pPr>
      <w:r w:rsidRPr="003C37BC">
        <w:rPr>
          <w:rFonts w:ascii="Arial" w:hAnsi="Arial" w:cs="Arial"/>
          <w:lang w:val="en-GB"/>
        </w:rPr>
        <w:t xml:space="preserve">A primary strategy for sustainable tourism in Kyoto is community-based tourism. In this approach, local residents actively participate in tourism planning, management, and service provision. </w:t>
      </w:r>
      <w:r w:rsidRPr="00587D26">
        <w:rPr>
          <w:rFonts w:ascii="Arial" w:hAnsi="Arial" w:cs="Arial"/>
          <w:lang w:val="en-US"/>
        </w:rPr>
        <w:t>Artisans, for example, can conduct workshops on traditional crafts such as pottery, dyeing textiles or creating kimonos. Workshops not only give visitors an opportunity to learn by doing, but they also provide income to local families (Nowacki, 2021). By engaging residents directly, the benefits of tourism are fairly distributed, and their cultural knowledge is not monetized. Community-based activities also help to develop cultural pride and strengthen the intergenerational transmission of traditions. Tourists are also left with an authentic representation of the cultural experiences in Kyoto rather than a phony experience.</w:t>
      </w:r>
    </w:p>
    <w:p w14:paraId="7F4D8E04" w14:textId="77777777" w:rsidR="000F66FE" w:rsidRPr="00587D26" w:rsidRDefault="000F66FE" w:rsidP="000F66FE">
      <w:pPr>
        <w:ind w:firstLine="720"/>
        <w:jc w:val="left"/>
        <w:rPr>
          <w:rFonts w:ascii="Arial" w:hAnsi="Arial" w:cs="Arial"/>
          <w:lang w:val="en-US"/>
        </w:rPr>
      </w:pPr>
      <w:r w:rsidRPr="00587D26">
        <w:rPr>
          <w:rFonts w:ascii="Arial" w:hAnsi="Arial" w:cs="Arial"/>
          <w:lang w:val="en-US"/>
        </w:rPr>
        <w:t xml:space="preserve">Education and interpretation </w:t>
      </w:r>
      <w:proofErr w:type="gramStart"/>
      <w:r w:rsidRPr="00587D26">
        <w:rPr>
          <w:rFonts w:ascii="Arial" w:hAnsi="Arial" w:cs="Arial"/>
          <w:lang w:val="en-US"/>
        </w:rPr>
        <w:t>is</w:t>
      </w:r>
      <w:proofErr w:type="gramEnd"/>
      <w:r w:rsidRPr="00587D26">
        <w:rPr>
          <w:rFonts w:ascii="Arial" w:hAnsi="Arial" w:cs="Arial"/>
          <w:lang w:val="en-US"/>
        </w:rPr>
        <w:t xml:space="preserve"> another important aspect of sustainable tourism. Most often, tourists come to Kyoto to learn about history, architecture and spirituality. Providing informative and reverent interpretation informs tourists and increases a sense of respect for cultural heritage. For example, guided tours in temples and gardens can inform visitors of the historical context, cultural significance and traditions of the area. Digital platforms, visitor centers and informational signage can support education while minimizing manifestations of bad behavior. Education also provides tourists with the ability to act appropriately, (i.e. dress code, taking photos or temple/protocol etiquette). The nurturing of education and interpretation encourages sustainable tourism </w:t>
      </w:r>
      <w:r w:rsidRPr="00587D26">
        <w:rPr>
          <w:rFonts w:ascii="Arial" w:hAnsi="Arial" w:cs="Arial"/>
          <w:lang w:val="en-US"/>
        </w:rPr>
        <w:lastRenderedPageBreak/>
        <w:t>consumers to appreciate cultural heritage rather than consume culture as entertainment.</w:t>
      </w:r>
    </w:p>
    <w:p w14:paraId="5D4E1D12" w14:textId="77777777" w:rsidR="000F66FE" w:rsidRPr="00587D26" w:rsidRDefault="000F66FE" w:rsidP="000F66FE">
      <w:pPr>
        <w:ind w:firstLine="720"/>
        <w:jc w:val="left"/>
        <w:rPr>
          <w:rFonts w:ascii="Arial" w:hAnsi="Arial" w:cs="Arial"/>
          <w:lang w:val="en-US"/>
        </w:rPr>
      </w:pPr>
      <w:r w:rsidRPr="00587D26">
        <w:rPr>
          <w:rFonts w:ascii="Arial" w:hAnsi="Arial" w:cs="Arial"/>
          <w:lang w:val="en-US"/>
        </w:rPr>
        <w:t>Finally, tourism supervision is critical to avert overuse and physical deterioration of cultural sites. Kyoto faces challenges of congestion in popular districts, wear on the temple structure, and pressure on the environment from a relatively large volume of people. Visitor management strategies can help to alleviate these issues</w:t>
      </w:r>
      <w:r w:rsidRPr="003C37BC">
        <w:rPr>
          <w:rFonts w:ascii="Arial" w:hAnsi="Arial" w:cs="Arial"/>
          <w:lang w:val="en-GB"/>
        </w:rPr>
        <w:t xml:space="preserve"> (Plesa, 2023). Approaches include limiting entry to sensitive sites, timed ticketing systems, and promoting off-peak visitation. Additionally, dispersing tourists to lesser-known sites reduces pressure on iconic locations and encourages exploration of the city’s broader cultural landscape. Effective management ensures that heritage sites remain intact while providing visitors with meaningful and enjoyable experiences.</w:t>
      </w:r>
    </w:p>
    <w:p w14:paraId="18BE31DB" w14:textId="77777777" w:rsidR="000F66FE" w:rsidRPr="003C37BC" w:rsidRDefault="000F66FE" w:rsidP="000F66FE">
      <w:pPr>
        <w:ind w:firstLine="720"/>
        <w:jc w:val="left"/>
        <w:rPr>
          <w:rFonts w:ascii="Arial" w:hAnsi="Arial" w:cs="Arial"/>
          <w:lang w:val="en-GB"/>
        </w:rPr>
      </w:pPr>
      <w:r w:rsidRPr="003C37BC">
        <w:rPr>
          <w:rFonts w:ascii="Arial" w:hAnsi="Arial" w:cs="Arial"/>
          <w:lang w:val="en-GB"/>
        </w:rPr>
        <w:t>Supporting local traditions without commodification also requires maintaining authenticity in cultural events and festivals. Kyoto hosts numerous traditional festivals, such as Gion Matsuri, that attract global attention. These events have deep spiritual and historical significance. Sustainable tourism encourages careful planning to retain ritual integrity, prevent commercialization, and involve community members as organizers and performers. Commercial vendors and tourist-focused activities should complement rather than replace the cultural essence of the events. By respecting the original purpose and meaning of festivals, Kyoto can share its traditions with visitors without reducing them to entertainment spectacles.</w:t>
      </w:r>
    </w:p>
    <w:p w14:paraId="538B4AC4" w14:textId="77777777" w:rsidR="000F66FE" w:rsidRPr="003C37BC" w:rsidRDefault="000F66FE" w:rsidP="000F66FE">
      <w:pPr>
        <w:ind w:firstLine="720"/>
        <w:jc w:val="left"/>
        <w:rPr>
          <w:rFonts w:ascii="Arial" w:hAnsi="Arial" w:cs="Arial"/>
          <w:lang w:val="en-GB"/>
        </w:rPr>
      </w:pPr>
      <w:r w:rsidRPr="003C37BC">
        <w:rPr>
          <w:rFonts w:ascii="Arial" w:hAnsi="Arial" w:cs="Arial"/>
          <w:lang w:val="en-GB"/>
        </w:rPr>
        <w:t xml:space="preserve">Sustainable tourism in Kyoto also includes promoting traditional architecture and neighbourhoods. Preserving wooden </w:t>
      </w:r>
      <w:proofErr w:type="spellStart"/>
      <w:r w:rsidRPr="003C37BC">
        <w:rPr>
          <w:rFonts w:ascii="Arial" w:hAnsi="Arial" w:cs="Arial"/>
          <w:lang w:val="en-GB"/>
        </w:rPr>
        <w:t>machiya</w:t>
      </w:r>
      <w:proofErr w:type="spellEnd"/>
      <w:r w:rsidRPr="003C37BC">
        <w:rPr>
          <w:rFonts w:ascii="Arial" w:hAnsi="Arial" w:cs="Arial"/>
          <w:lang w:val="en-GB"/>
        </w:rPr>
        <w:t xml:space="preserve"> houses, narrow streets, and historic districts maintains the city’s cultural character (Iskhakova, Bradly and Ott, 2023). Tourism development should avoid replacing traditional buildings with modern structures or transforming them solely into commercial spaces. Incentives for property owners to maintain historical buildings, adaptive reuse for guesthouses or cultural centres, and careful urban planning contribute to heritage conservation. Visitors </w:t>
      </w:r>
      <w:r w:rsidRPr="003C37BC">
        <w:rPr>
          <w:rFonts w:ascii="Arial" w:hAnsi="Arial" w:cs="Arial"/>
          <w:lang w:val="en-GB"/>
        </w:rPr>
        <w:lastRenderedPageBreak/>
        <w:t>experience authentic surroundings, and the city retains its unique cultural atmosphere. This approach balances tourism growth with the protection of tangible heritage.</w:t>
      </w:r>
    </w:p>
    <w:p w14:paraId="21C0217D" w14:textId="77777777" w:rsidR="000F66FE" w:rsidRPr="003C37BC" w:rsidRDefault="000F66FE" w:rsidP="000F66FE">
      <w:pPr>
        <w:ind w:firstLine="720"/>
        <w:jc w:val="left"/>
        <w:rPr>
          <w:rFonts w:ascii="Arial" w:hAnsi="Arial" w:cs="Arial"/>
          <w:lang w:val="en-GB"/>
        </w:rPr>
      </w:pPr>
      <w:r w:rsidRPr="003C37BC">
        <w:rPr>
          <w:rFonts w:ascii="Arial" w:hAnsi="Arial" w:cs="Arial"/>
          <w:lang w:val="en-GB"/>
        </w:rPr>
        <w:t>Another important element is the promotion of cultural practices through participatory experiences. Culinary traditions, tea ceremonies, ikebana (flower arranging), and traditional music can be offered to tourists in ways that respect local knowledge and avoid superficial presentation. Small-scale, workshop-based experiences allow tourists to engage meaningfully while benefiting local practitioners (Buda et al., 2021). The focus should be on learning, appreciation, and participation rather than mass consumption or commercial performance. Sustainable tourism fosters long-term cultural vitality by ensuring that traditions are actively practiced and transmitted rather than reduced to commodities.</w:t>
      </w:r>
    </w:p>
    <w:p w14:paraId="62D17B8B" w14:textId="77777777" w:rsidR="000F66FE" w:rsidRPr="003C37BC" w:rsidRDefault="000F66FE" w:rsidP="000F66FE">
      <w:pPr>
        <w:ind w:firstLine="720"/>
        <w:jc w:val="left"/>
        <w:rPr>
          <w:rFonts w:ascii="Arial" w:hAnsi="Arial" w:cs="Arial"/>
          <w:lang w:val="en-GB"/>
        </w:rPr>
      </w:pPr>
      <w:r w:rsidRPr="003C37BC">
        <w:rPr>
          <w:rFonts w:ascii="Arial" w:hAnsi="Arial" w:cs="Arial"/>
          <w:lang w:val="en-GB"/>
        </w:rPr>
        <w:t>Collaboration between government, businesses, and communities strengthens sustainable tourism initiatives. Kyoto can implement policies that support heritage conservation, provide funding for cultural programs, and regulate commercial activities in sensitive areas. Tourism businesses can adopt standards for ethical practices, environmental sustainability, and cultural respect. Local communities, as key stakeholders, should participate in decision-making processes and benefit from tourism-generated income. Partnerships between stakeholders ensure that heritage protection is embedded in tourism planning rather than treated as an afterthought.</w:t>
      </w:r>
    </w:p>
    <w:p w14:paraId="197D7A1C" w14:textId="77777777" w:rsidR="000F66FE" w:rsidRPr="00BF0E9D" w:rsidRDefault="000F66FE" w:rsidP="000F66FE">
      <w:pPr>
        <w:ind w:firstLine="720"/>
        <w:jc w:val="left"/>
        <w:rPr>
          <w:rFonts w:ascii="Arial" w:hAnsi="Arial" w:cs="Arial"/>
          <w:lang w:val="en-US"/>
        </w:rPr>
      </w:pPr>
      <w:r w:rsidRPr="003C37BC">
        <w:rPr>
          <w:rFonts w:ascii="Arial" w:hAnsi="Arial" w:cs="Arial"/>
          <w:lang w:val="en-GB"/>
        </w:rPr>
        <w:t xml:space="preserve">Monitoring and evaluation are critical to assess the impact of tourism on cultural heritage. </w:t>
      </w:r>
      <w:r w:rsidRPr="00BF0E9D">
        <w:rPr>
          <w:rFonts w:ascii="Arial" w:hAnsi="Arial" w:cs="Arial"/>
          <w:lang w:val="en-US"/>
        </w:rPr>
        <w:t>Visitor data, site conditions, and community input can be used for adaptive management. Continuous monitoring allows Kyoto to adapt plans using management strategies without causing adverse impacts, or improving sustainable use strategies. Tourism management allows the city to ensure cultural heritage is preserved and disseminated sustainably</w:t>
      </w:r>
      <w:r>
        <w:rPr>
          <w:rFonts w:ascii="Arial" w:hAnsi="Arial" w:cs="Arial"/>
          <w:lang w:val="en-US"/>
        </w:rPr>
        <w:t>,</w:t>
      </w:r>
      <w:r w:rsidRPr="00BF0E9D">
        <w:rPr>
          <w:rFonts w:ascii="Arial" w:hAnsi="Arial" w:cs="Arial"/>
          <w:lang w:val="en-US"/>
        </w:rPr>
        <w:t xml:space="preserve"> long-term value for residents and tourists </w:t>
      </w:r>
      <w:proofErr w:type="spellStart"/>
      <w:r w:rsidRPr="00BF0E9D">
        <w:rPr>
          <w:rFonts w:ascii="Arial" w:hAnsi="Arial" w:cs="Arial"/>
          <w:lang w:val="en-US"/>
        </w:rPr>
        <w:t>i</w:t>
      </w:r>
      <w:proofErr w:type="spellEnd"/>
      <w:r w:rsidRPr="00BF0E9D">
        <w:rPr>
          <w:rFonts w:ascii="Arial" w:hAnsi="Arial" w:cs="Arial"/>
          <w:lang w:val="en-US"/>
        </w:rPr>
        <w:t xml:space="preserve"> preserved.</w:t>
      </w:r>
    </w:p>
    <w:p w14:paraId="4F95FE34" w14:textId="7DC24C40" w:rsidR="003A5016" w:rsidRPr="003C37BC" w:rsidRDefault="000F66FE" w:rsidP="000F66FE">
      <w:pPr>
        <w:ind w:firstLine="720"/>
        <w:jc w:val="left"/>
        <w:rPr>
          <w:rFonts w:ascii="Arial" w:hAnsi="Arial" w:cs="Arial"/>
          <w:lang w:val="en-GB"/>
        </w:rPr>
      </w:pPr>
      <w:r w:rsidRPr="003C37BC">
        <w:rPr>
          <w:rFonts w:ascii="Arial" w:hAnsi="Arial" w:cs="Arial"/>
          <w:lang w:val="en-GB"/>
        </w:rPr>
        <w:t xml:space="preserve">In conclusion, </w:t>
      </w:r>
      <w:r w:rsidRPr="00BF0E9D">
        <w:rPr>
          <w:rFonts w:ascii="Arial" w:hAnsi="Arial" w:cs="Arial"/>
          <w:lang w:val="en-US"/>
        </w:rPr>
        <w:t xml:space="preserve">sustainable tourism in Kyoto can protect and promote local heritage and traditions without market commodification-emphasizing community </w:t>
      </w:r>
      <w:r w:rsidRPr="00BF0E9D">
        <w:rPr>
          <w:rFonts w:ascii="Arial" w:hAnsi="Arial" w:cs="Arial"/>
          <w:lang w:val="en-US"/>
        </w:rPr>
        <w:lastRenderedPageBreak/>
        <w:t>involvement, education, visitor management authenticity, and community-based tourism and interpretive programs, preserving festivals and conservation of traditional architecture can concert tourism toward cultural viability and blend economic and social enhancement</w:t>
      </w:r>
      <w:r w:rsidR="003A5016" w:rsidRPr="003C37BC">
        <w:rPr>
          <w:rFonts w:ascii="Arial" w:hAnsi="Arial" w:cs="Arial"/>
          <w:lang w:val="en-GB"/>
        </w:rPr>
        <w:t xml:space="preserve">. </w:t>
      </w:r>
    </w:p>
    <w:p w14:paraId="14FADBF3" w14:textId="77777777" w:rsidR="003A5016" w:rsidRPr="003C37BC" w:rsidRDefault="003A5016">
      <w:pPr>
        <w:spacing w:after="160" w:line="259" w:lineRule="auto"/>
        <w:jc w:val="left"/>
        <w:rPr>
          <w:rFonts w:ascii="Arial" w:hAnsi="Arial" w:cs="Arial"/>
          <w:lang w:val="en-GB"/>
        </w:rPr>
      </w:pPr>
      <w:r w:rsidRPr="003C37BC">
        <w:rPr>
          <w:rFonts w:ascii="Arial" w:hAnsi="Arial" w:cs="Arial"/>
          <w:lang w:val="en-GB"/>
        </w:rPr>
        <w:br w:type="page"/>
      </w:r>
    </w:p>
    <w:p w14:paraId="0C921815" w14:textId="5961B8C9" w:rsidR="003A5016" w:rsidRPr="003C37BC" w:rsidRDefault="003A5016" w:rsidP="00DA2EE4">
      <w:pPr>
        <w:pStyle w:val="Heading1"/>
        <w:rPr>
          <w:rFonts w:ascii="Arial" w:hAnsi="Arial" w:cs="Arial"/>
        </w:rPr>
      </w:pPr>
      <w:bookmarkStart w:id="2" w:name="_Toc209782792"/>
      <w:r w:rsidRPr="003C37BC">
        <w:rPr>
          <w:rFonts w:ascii="Arial" w:hAnsi="Arial" w:cs="Arial"/>
        </w:rPr>
        <w:lastRenderedPageBreak/>
        <w:t>References</w:t>
      </w:r>
      <w:bookmarkEnd w:id="2"/>
    </w:p>
    <w:p w14:paraId="4689400E" w14:textId="4B7A1ECC" w:rsidR="00995E53" w:rsidRPr="003C37BC" w:rsidRDefault="00995E53" w:rsidP="00DA2EE4">
      <w:pPr>
        <w:ind w:left="720" w:hanging="720"/>
        <w:rPr>
          <w:rFonts w:ascii="Arial" w:hAnsi="Arial" w:cs="Arial"/>
        </w:rPr>
      </w:pPr>
      <w:r w:rsidRPr="003C37BC">
        <w:rPr>
          <w:rFonts w:ascii="Arial" w:hAnsi="Arial" w:cs="Arial"/>
        </w:rPr>
        <w:t>Arora, N. K., &amp; Mishra, I. (2023). Responsible consumption and production: a roadmap to sustainable development. </w:t>
      </w:r>
      <w:r w:rsidRPr="003C37BC">
        <w:rPr>
          <w:rFonts w:ascii="Arial" w:hAnsi="Arial" w:cs="Arial"/>
          <w:i/>
          <w:iCs/>
        </w:rPr>
        <w:t>Environmental Sustainability</w:t>
      </w:r>
      <w:r w:rsidRPr="003C37BC">
        <w:rPr>
          <w:rFonts w:ascii="Arial" w:hAnsi="Arial" w:cs="Arial"/>
        </w:rPr>
        <w:t>, </w:t>
      </w:r>
      <w:r w:rsidRPr="003C37BC">
        <w:rPr>
          <w:rFonts w:ascii="Arial" w:hAnsi="Arial" w:cs="Arial"/>
          <w:i/>
          <w:iCs/>
        </w:rPr>
        <w:t>6</w:t>
      </w:r>
      <w:r w:rsidRPr="003C37BC">
        <w:rPr>
          <w:rFonts w:ascii="Arial" w:hAnsi="Arial" w:cs="Arial"/>
        </w:rPr>
        <w:t xml:space="preserve">(1), 1-6. </w:t>
      </w:r>
      <w:r w:rsidR="00DA2EE4" w:rsidRPr="003C37BC">
        <w:rPr>
          <w:rFonts w:ascii="Arial" w:hAnsi="Arial" w:cs="Arial"/>
        </w:rPr>
        <w:t xml:space="preserve"> DOI: </w:t>
      </w:r>
      <w:hyperlink r:id="rId7" w:history="1">
        <w:r w:rsidR="00DA2EE4" w:rsidRPr="003C37BC">
          <w:rPr>
            <w:rStyle w:val="Hyperlink"/>
            <w:rFonts w:ascii="Arial" w:hAnsi="Arial" w:cs="Arial"/>
          </w:rPr>
          <w:t>https://doi.org/10.1007/s42398-023-00266-9</w:t>
        </w:r>
      </w:hyperlink>
    </w:p>
    <w:p w14:paraId="4AB8CA7B" w14:textId="6DAAA2A1" w:rsidR="00995E53" w:rsidRPr="003C37BC" w:rsidRDefault="00995E53" w:rsidP="00DA2EE4">
      <w:pPr>
        <w:ind w:left="720" w:hanging="720"/>
        <w:rPr>
          <w:rFonts w:ascii="Arial" w:hAnsi="Arial" w:cs="Arial"/>
        </w:rPr>
      </w:pPr>
      <w:r w:rsidRPr="003C37BC">
        <w:rPr>
          <w:rFonts w:ascii="Arial" w:hAnsi="Arial" w:cs="Arial"/>
        </w:rPr>
        <w:t xml:space="preserve">Baloch, Q. B., Shah, S. N., Iqbal, N., </w:t>
      </w:r>
      <w:proofErr w:type="spellStart"/>
      <w:r w:rsidRPr="003C37BC">
        <w:rPr>
          <w:rFonts w:ascii="Arial" w:hAnsi="Arial" w:cs="Arial"/>
        </w:rPr>
        <w:t>Sheeraz</w:t>
      </w:r>
      <w:proofErr w:type="spellEnd"/>
      <w:r w:rsidRPr="003C37BC">
        <w:rPr>
          <w:rFonts w:ascii="Arial" w:hAnsi="Arial" w:cs="Arial"/>
        </w:rPr>
        <w:t>, M., Asadullah, M., Mahar, S., &amp; Khan, A. U. (2023). Impact of tourism development upon environmental sustainability: a suggested framework for sustainable ecotourism. </w:t>
      </w:r>
      <w:r w:rsidRPr="003C37BC">
        <w:rPr>
          <w:rFonts w:ascii="Arial" w:hAnsi="Arial" w:cs="Arial"/>
          <w:i/>
          <w:iCs/>
        </w:rPr>
        <w:t>Environmental Science and Pollution Research</w:t>
      </w:r>
      <w:r w:rsidRPr="003C37BC">
        <w:rPr>
          <w:rFonts w:ascii="Arial" w:hAnsi="Arial" w:cs="Arial"/>
        </w:rPr>
        <w:t>, </w:t>
      </w:r>
      <w:r w:rsidRPr="003C37BC">
        <w:rPr>
          <w:rFonts w:ascii="Arial" w:hAnsi="Arial" w:cs="Arial"/>
          <w:i/>
          <w:iCs/>
        </w:rPr>
        <w:t>30</w:t>
      </w:r>
      <w:r w:rsidRPr="003C37BC">
        <w:rPr>
          <w:rFonts w:ascii="Arial" w:hAnsi="Arial" w:cs="Arial"/>
        </w:rPr>
        <w:t xml:space="preserve">(3), 5917-5930. </w:t>
      </w:r>
      <w:r w:rsidR="00DA2EE4" w:rsidRPr="003C37BC">
        <w:rPr>
          <w:rFonts w:ascii="Arial" w:hAnsi="Arial" w:cs="Arial"/>
        </w:rPr>
        <w:t xml:space="preserve">DOI: </w:t>
      </w:r>
      <w:hyperlink r:id="rId8" w:history="1">
        <w:r w:rsidR="00DA2EE4" w:rsidRPr="003C37BC">
          <w:rPr>
            <w:rStyle w:val="Hyperlink"/>
            <w:rFonts w:ascii="Arial" w:hAnsi="Arial" w:cs="Arial"/>
          </w:rPr>
          <w:t>https://doi.org/10.1007/s11356-022-22496-w</w:t>
        </w:r>
      </w:hyperlink>
    </w:p>
    <w:p w14:paraId="57A713E0" w14:textId="2C3B45B2" w:rsidR="00995E53" w:rsidRPr="003C37BC" w:rsidRDefault="00995E53" w:rsidP="00DA2EE4">
      <w:pPr>
        <w:ind w:left="720" w:hanging="720"/>
        <w:rPr>
          <w:rFonts w:ascii="Arial" w:hAnsi="Arial" w:cs="Arial"/>
        </w:rPr>
      </w:pPr>
      <w:r w:rsidRPr="003C37BC">
        <w:rPr>
          <w:rFonts w:ascii="Arial" w:hAnsi="Arial" w:cs="Arial"/>
        </w:rPr>
        <w:t xml:space="preserve">Buda, A., de Place Hansen, E. J., Rieser, A., Giancola, E., </w:t>
      </w:r>
      <w:proofErr w:type="spellStart"/>
      <w:r w:rsidRPr="003C37BC">
        <w:rPr>
          <w:rFonts w:ascii="Arial" w:hAnsi="Arial" w:cs="Arial"/>
        </w:rPr>
        <w:t>Pracchi</w:t>
      </w:r>
      <w:proofErr w:type="spellEnd"/>
      <w:r w:rsidRPr="003C37BC">
        <w:rPr>
          <w:rFonts w:ascii="Arial" w:hAnsi="Arial" w:cs="Arial"/>
        </w:rPr>
        <w:t>, V. N., Mauri, S., ... &amp; Herrera-</w:t>
      </w:r>
      <w:proofErr w:type="spellStart"/>
      <w:r w:rsidRPr="003C37BC">
        <w:rPr>
          <w:rFonts w:ascii="Arial" w:hAnsi="Arial" w:cs="Arial"/>
        </w:rPr>
        <w:t>Avellanosa</w:t>
      </w:r>
      <w:proofErr w:type="spellEnd"/>
      <w:r w:rsidRPr="003C37BC">
        <w:rPr>
          <w:rFonts w:ascii="Arial" w:hAnsi="Arial" w:cs="Arial"/>
        </w:rPr>
        <w:t>, D. (2021). Conservation-compatible retrofit solutions in historic buildings: An integrated approach. </w:t>
      </w:r>
      <w:r w:rsidRPr="003C37BC">
        <w:rPr>
          <w:rFonts w:ascii="Arial" w:hAnsi="Arial" w:cs="Arial"/>
          <w:i/>
          <w:iCs/>
        </w:rPr>
        <w:t>Sustainability</w:t>
      </w:r>
      <w:r w:rsidRPr="003C37BC">
        <w:rPr>
          <w:rFonts w:ascii="Arial" w:hAnsi="Arial" w:cs="Arial"/>
        </w:rPr>
        <w:t>, </w:t>
      </w:r>
      <w:r w:rsidRPr="003C37BC">
        <w:rPr>
          <w:rFonts w:ascii="Arial" w:hAnsi="Arial" w:cs="Arial"/>
          <w:i/>
          <w:iCs/>
        </w:rPr>
        <w:t>13</w:t>
      </w:r>
      <w:r w:rsidRPr="003C37BC">
        <w:rPr>
          <w:rFonts w:ascii="Arial" w:hAnsi="Arial" w:cs="Arial"/>
        </w:rPr>
        <w:t xml:space="preserve">(5), 2927. </w:t>
      </w:r>
      <w:r w:rsidR="00DA2EE4" w:rsidRPr="003C37BC">
        <w:rPr>
          <w:rFonts w:ascii="Arial" w:hAnsi="Arial" w:cs="Arial"/>
        </w:rPr>
        <w:t xml:space="preserve">DOI: </w:t>
      </w:r>
      <w:hyperlink r:id="rId9" w:history="1">
        <w:r w:rsidR="00DA2EE4" w:rsidRPr="003C37BC">
          <w:rPr>
            <w:rStyle w:val="Hyperlink"/>
            <w:rFonts w:ascii="Arial" w:hAnsi="Arial" w:cs="Arial"/>
          </w:rPr>
          <w:t>https://doi.org/10.3390/su13052927</w:t>
        </w:r>
      </w:hyperlink>
    </w:p>
    <w:p w14:paraId="7117E64C" w14:textId="52760BFA" w:rsidR="00995E53" w:rsidRPr="003C37BC" w:rsidRDefault="00995E53" w:rsidP="00DA2EE4">
      <w:pPr>
        <w:ind w:left="720" w:hanging="720"/>
        <w:rPr>
          <w:rFonts w:ascii="Arial" w:hAnsi="Arial" w:cs="Arial"/>
        </w:rPr>
      </w:pPr>
      <w:r w:rsidRPr="003C37BC">
        <w:rPr>
          <w:rFonts w:ascii="Arial" w:hAnsi="Arial" w:cs="Arial"/>
        </w:rPr>
        <w:t>Day, J., Morrison, A. M., &amp; Coca-Stefaniak, J. A. (2021). Sustainable tourism in urban destinations. </w:t>
      </w:r>
      <w:r w:rsidRPr="003C37BC">
        <w:rPr>
          <w:rFonts w:ascii="Arial" w:hAnsi="Arial" w:cs="Arial"/>
          <w:i/>
          <w:iCs/>
        </w:rPr>
        <w:t>International Journal of Tourism Cities</w:t>
      </w:r>
      <w:r w:rsidRPr="003C37BC">
        <w:rPr>
          <w:rFonts w:ascii="Arial" w:hAnsi="Arial" w:cs="Arial"/>
        </w:rPr>
        <w:t>, </w:t>
      </w:r>
      <w:r w:rsidRPr="003C37BC">
        <w:rPr>
          <w:rFonts w:ascii="Arial" w:hAnsi="Arial" w:cs="Arial"/>
          <w:i/>
          <w:iCs/>
        </w:rPr>
        <w:t>7</w:t>
      </w:r>
      <w:r w:rsidRPr="003C37BC">
        <w:rPr>
          <w:rFonts w:ascii="Arial" w:hAnsi="Arial" w:cs="Arial"/>
        </w:rPr>
        <w:t xml:space="preserve">(4), 881-886. </w:t>
      </w:r>
      <w:r w:rsidR="00DA2EE4" w:rsidRPr="003C37BC">
        <w:rPr>
          <w:rFonts w:ascii="Arial" w:hAnsi="Arial" w:cs="Arial"/>
        </w:rPr>
        <w:t xml:space="preserve">DOI: </w:t>
      </w:r>
      <w:hyperlink r:id="rId10" w:history="1">
        <w:r w:rsidR="00DA2EE4" w:rsidRPr="003C37BC">
          <w:rPr>
            <w:rStyle w:val="Hyperlink"/>
            <w:rFonts w:ascii="Arial" w:hAnsi="Arial" w:cs="Arial"/>
          </w:rPr>
          <w:t>https://doi.org/10.1108/IJTC-12-2021-290</w:t>
        </w:r>
      </w:hyperlink>
    </w:p>
    <w:p w14:paraId="30929DF0" w14:textId="515760F7" w:rsidR="00DC20B3" w:rsidRPr="003C37BC" w:rsidRDefault="00DC20B3" w:rsidP="00DA2EE4">
      <w:pPr>
        <w:ind w:left="720" w:hanging="720"/>
        <w:rPr>
          <w:rFonts w:ascii="Arial" w:hAnsi="Arial" w:cs="Arial"/>
          <w:lang w:val="en-GB"/>
        </w:rPr>
      </w:pPr>
      <w:proofErr w:type="spellStart"/>
      <w:r w:rsidRPr="003C37BC">
        <w:rPr>
          <w:rFonts w:ascii="Arial" w:hAnsi="Arial" w:cs="Arial"/>
          <w:lang w:val="en-GB"/>
        </w:rPr>
        <w:t>Gössling</w:t>
      </w:r>
      <w:proofErr w:type="spellEnd"/>
      <w:r w:rsidRPr="003C37BC">
        <w:rPr>
          <w:rFonts w:ascii="Arial" w:hAnsi="Arial" w:cs="Arial"/>
          <w:lang w:val="en-GB"/>
        </w:rPr>
        <w:t>, S. and Higham, J., 2021. The low-carbon imperative: Destination management under urgent climate change. </w:t>
      </w:r>
      <w:r w:rsidRPr="003C37BC">
        <w:rPr>
          <w:rFonts w:ascii="Arial" w:hAnsi="Arial" w:cs="Arial"/>
          <w:i/>
          <w:iCs/>
          <w:lang w:val="en-GB"/>
        </w:rPr>
        <w:t>Journal of Travel Research</w:t>
      </w:r>
      <w:r w:rsidRPr="003C37BC">
        <w:rPr>
          <w:rFonts w:ascii="Arial" w:hAnsi="Arial" w:cs="Arial"/>
          <w:lang w:val="en-GB"/>
        </w:rPr>
        <w:t>, </w:t>
      </w:r>
      <w:r w:rsidRPr="003C37BC">
        <w:rPr>
          <w:rFonts w:ascii="Arial" w:hAnsi="Arial" w:cs="Arial"/>
          <w:i/>
          <w:iCs/>
          <w:lang w:val="en-GB"/>
        </w:rPr>
        <w:t>60</w:t>
      </w:r>
      <w:r w:rsidRPr="003C37BC">
        <w:rPr>
          <w:rFonts w:ascii="Arial" w:hAnsi="Arial" w:cs="Arial"/>
          <w:lang w:val="en-GB"/>
        </w:rPr>
        <w:t>(6), pp.1167-1179.</w:t>
      </w:r>
      <w:r w:rsidR="00995E53" w:rsidRPr="003C37BC">
        <w:rPr>
          <w:rFonts w:ascii="Arial" w:hAnsi="Arial" w:cs="Arial"/>
          <w:lang w:val="en-GB"/>
        </w:rPr>
        <w:t xml:space="preserve"> </w:t>
      </w:r>
      <w:r w:rsidR="00DA2EE4" w:rsidRPr="003C37BC">
        <w:rPr>
          <w:rFonts w:ascii="Arial" w:hAnsi="Arial" w:cs="Arial"/>
        </w:rPr>
        <w:t xml:space="preserve">DOI: </w:t>
      </w:r>
      <w:hyperlink r:id="rId11" w:history="1">
        <w:r w:rsidR="00DA2EE4" w:rsidRPr="003C37BC">
          <w:rPr>
            <w:rStyle w:val="Hyperlink"/>
            <w:rFonts w:ascii="Arial" w:hAnsi="Arial" w:cs="Arial"/>
            <w:lang w:val="en-GB"/>
          </w:rPr>
          <w:t>https://doi.org/10.1177/0047287520933679</w:t>
        </w:r>
      </w:hyperlink>
    </w:p>
    <w:p w14:paraId="1A2A3EB9" w14:textId="5096E79E" w:rsidR="00995E53" w:rsidRPr="003C37BC" w:rsidRDefault="00995E53" w:rsidP="00DA2EE4">
      <w:pPr>
        <w:ind w:left="720" w:hanging="720"/>
        <w:rPr>
          <w:rFonts w:ascii="Arial" w:hAnsi="Arial" w:cs="Arial"/>
        </w:rPr>
      </w:pPr>
      <w:r w:rsidRPr="003C37BC">
        <w:rPr>
          <w:rFonts w:ascii="Arial" w:hAnsi="Arial" w:cs="Arial"/>
        </w:rPr>
        <w:t>Iskhakova, M., Bradly, A., &amp; Ott, D. L. (2023). Meaningful short-term study abroad experiences: the role of destination in international educational tourism. </w:t>
      </w:r>
      <w:r w:rsidRPr="003C37BC">
        <w:rPr>
          <w:rFonts w:ascii="Arial" w:hAnsi="Arial" w:cs="Arial"/>
          <w:i/>
          <w:iCs/>
        </w:rPr>
        <w:t>Journal of teaching in travel &amp; tourism</w:t>
      </w:r>
      <w:r w:rsidRPr="003C37BC">
        <w:rPr>
          <w:rFonts w:ascii="Arial" w:hAnsi="Arial" w:cs="Arial"/>
        </w:rPr>
        <w:t>, </w:t>
      </w:r>
      <w:r w:rsidRPr="003C37BC">
        <w:rPr>
          <w:rFonts w:ascii="Arial" w:hAnsi="Arial" w:cs="Arial"/>
          <w:i/>
          <w:iCs/>
        </w:rPr>
        <w:t>23</w:t>
      </w:r>
      <w:r w:rsidRPr="003C37BC">
        <w:rPr>
          <w:rFonts w:ascii="Arial" w:hAnsi="Arial" w:cs="Arial"/>
        </w:rPr>
        <w:t>(4), 400-424.</w:t>
      </w:r>
      <w:r w:rsidR="00DA2EE4" w:rsidRPr="003C37BC">
        <w:rPr>
          <w:rFonts w:ascii="Arial" w:hAnsi="Arial" w:cs="Arial"/>
        </w:rPr>
        <w:t xml:space="preserve"> DOI: </w:t>
      </w:r>
      <w:hyperlink r:id="rId12" w:history="1">
        <w:r w:rsidR="00DA2EE4" w:rsidRPr="003C37BC">
          <w:rPr>
            <w:rStyle w:val="Hyperlink"/>
            <w:rFonts w:ascii="Arial" w:hAnsi="Arial" w:cs="Arial"/>
          </w:rPr>
          <w:t>https://doi.org/10.1080/15313220.2023.2223029</w:t>
        </w:r>
      </w:hyperlink>
    </w:p>
    <w:p w14:paraId="5C3F9EEF" w14:textId="388384E6" w:rsidR="00DA2EE4" w:rsidRPr="003C37BC" w:rsidRDefault="00DA2EE4" w:rsidP="00DA2EE4">
      <w:pPr>
        <w:ind w:left="720" w:hanging="720"/>
        <w:rPr>
          <w:rFonts w:ascii="Arial" w:hAnsi="Arial" w:cs="Arial"/>
        </w:rPr>
      </w:pPr>
      <w:r w:rsidRPr="003C37BC">
        <w:rPr>
          <w:rFonts w:ascii="Arial" w:hAnsi="Arial" w:cs="Arial"/>
        </w:rPr>
        <w:t>Nowacki, M. (2021). Heritage interpretation and sustainable development: A systematic literature review. </w:t>
      </w:r>
      <w:r w:rsidRPr="003C37BC">
        <w:rPr>
          <w:rFonts w:ascii="Arial" w:hAnsi="Arial" w:cs="Arial"/>
          <w:i/>
          <w:iCs/>
        </w:rPr>
        <w:t>Sustainability</w:t>
      </w:r>
      <w:r w:rsidRPr="003C37BC">
        <w:rPr>
          <w:rFonts w:ascii="Arial" w:hAnsi="Arial" w:cs="Arial"/>
        </w:rPr>
        <w:t>, </w:t>
      </w:r>
      <w:r w:rsidRPr="003C37BC">
        <w:rPr>
          <w:rFonts w:ascii="Arial" w:hAnsi="Arial" w:cs="Arial"/>
          <w:i/>
          <w:iCs/>
        </w:rPr>
        <w:t>13</w:t>
      </w:r>
      <w:r w:rsidRPr="003C37BC">
        <w:rPr>
          <w:rFonts w:ascii="Arial" w:hAnsi="Arial" w:cs="Arial"/>
        </w:rPr>
        <w:t xml:space="preserve">(8), 4383. DOI: </w:t>
      </w:r>
      <w:hyperlink r:id="rId13" w:history="1">
        <w:r w:rsidRPr="003C37BC">
          <w:rPr>
            <w:rStyle w:val="Hyperlink"/>
            <w:rFonts w:ascii="Arial" w:hAnsi="Arial" w:cs="Arial"/>
          </w:rPr>
          <w:t>https://doi.org/10.3390/su13084383</w:t>
        </w:r>
      </w:hyperlink>
    </w:p>
    <w:p w14:paraId="6B672495" w14:textId="0011FDAB" w:rsidR="00DA2EE4" w:rsidRPr="003C37BC" w:rsidRDefault="00DA2EE4" w:rsidP="00DA2EE4">
      <w:pPr>
        <w:ind w:left="720" w:hanging="720"/>
        <w:rPr>
          <w:rFonts w:ascii="Arial" w:hAnsi="Arial" w:cs="Arial"/>
        </w:rPr>
      </w:pPr>
      <w:r w:rsidRPr="003C37BC">
        <w:rPr>
          <w:rFonts w:ascii="Arial" w:hAnsi="Arial" w:cs="Arial"/>
        </w:rPr>
        <w:lastRenderedPageBreak/>
        <w:t xml:space="preserve">Plesa, P. (2023). </w:t>
      </w:r>
      <w:proofErr w:type="spellStart"/>
      <w:r w:rsidRPr="003C37BC">
        <w:rPr>
          <w:rFonts w:ascii="Arial" w:hAnsi="Arial" w:cs="Arial"/>
        </w:rPr>
        <w:t>Authenticization</w:t>
      </w:r>
      <w:proofErr w:type="spellEnd"/>
      <w:r w:rsidRPr="003C37BC">
        <w:rPr>
          <w:rFonts w:ascii="Arial" w:hAnsi="Arial" w:cs="Arial"/>
        </w:rPr>
        <w:t>: Consuming commodified authenticity to become “authentic” subjects. </w:t>
      </w:r>
      <w:r w:rsidRPr="003C37BC">
        <w:rPr>
          <w:rFonts w:ascii="Arial" w:hAnsi="Arial" w:cs="Arial"/>
          <w:i/>
          <w:iCs/>
        </w:rPr>
        <w:t>Theory &amp; psychology</w:t>
      </w:r>
      <w:r w:rsidRPr="003C37BC">
        <w:rPr>
          <w:rFonts w:ascii="Arial" w:hAnsi="Arial" w:cs="Arial"/>
        </w:rPr>
        <w:t>, </w:t>
      </w:r>
      <w:r w:rsidRPr="003C37BC">
        <w:rPr>
          <w:rFonts w:ascii="Arial" w:hAnsi="Arial" w:cs="Arial"/>
          <w:i/>
          <w:iCs/>
        </w:rPr>
        <w:t>33</w:t>
      </w:r>
      <w:r w:rsidRPr="003C37BC">
        <w:rPr>
          <w:rFonts w:ascii="Arial" w:hAnsi="Arial" w:cs="Arial"/>
        </w:rPr>
        <w:t xml:space="preserve">(4), 555-576. DOI: </w:t>
      </w:r>
      <w:hyperlink r:id="rId14" w:history="1">
        <w:r w:rsidRPr="003C37BC">
          <w:rPr>
            <w:rStyle w:val="Hyperlink"/>
            <w:rFonts w:ascii="Arial" w:hAnsi="Arial" w:cs="Arial"/>
          </w:rPr>
          <w:t>https://doi.org/10.1177/09593543231174030</w:t>
        </w:r>
      </w:hyperlink>
    </w:p>
    <w:p w14:paraId="0E1C410A" w14:textId="5EC7DD5C" w:rsidR="00DC20B3" w:rsidRPr="003C37BC" w:rsidRDefault="00DC20B3" w:rsidP="00DA2EE4">
      <w:pPr>
        <w:ind w:left="720" w:hanging="720"/>
        <w:rPr>
          <w:rFonts w:ascii="Arial" w:hAnsi="Arial" w:cs="Arial"/>
        </w:rPr>
      </w:pPr>
      <w:r w:rsidRPr="003C37BC">
        <w:rPr>
          <w:rFonts w:ascii="Arial" w:hAnsi="Arial" w:cs="Arial"/>
          <w:lang w:val="en-GB"/>
        </w:rPr>
        <w:t xml:space="preserve">Prasad, K., 2024. The Role of local community in enhancing sustainable </w:t>
      </w:r>
      <w:proofErr w:type="gramStart"/>
      <w:r w:rsidRPr="003C37BC">
        <w:rPr>
          <w:rFonts w:ascii="Arial" w:hAnsi="Arial" w:cs="Arial"/>
          <w:lang w:val="en-GB"/>
        </w:rPr>
        <w:t>community based</w:t>
      </w:r>
      <w:proofErr w:type="gramEnd"/>
      <w:r w:rsidRPr="003C37BC">
        <w:rPr>
          <w:rFonts w:ascii="Arial" w:hAnsi="Arial" w:cs="Arial"/>
          <w:lang w:val="en-GB"/>
        </w:rPr>
        <w:t xml:space="preserve"> tourism. </w:t>
      </w:r>
      <w:r w:rsidRPr="003C37BC">
        <w:rPr>
          <w:rFonts w:ascii="Arial" w:hAnsi="Arial" w:cs="Arial"/>
          <w:i/>
          <w:iCs/>
          <w:lang w:val="en-GB"/>
        </w:rPr>
        <w:t>J. Electrical Systems</w:t>
      </w:r>
      <w:r w:rsidRPr="003C37BC">
        <w:rPr>
          <w:rFonts w:ascii="Arial" w:hAnsi="Arial" w:cs="Arial"/>
          <w:lang w:val="en-GB"/>
        </w:rPr>
        <w:t>, </w:t>
      </w:r>
      <w:r w:rsidRPr="003C37BC">
        <w:rPr>
          <w:rFonts w:ascii="Arial" w:hAnsi="Arial" w:cs="Arial"/>
          <w:i/>
          <w:iCs/>
          <w:lang w:val="en-GB"/>
        </w:rPr>
        <w:t>20</w:t>
      </w:r>
      <w:r w:rsidRPr="003C37BC">
        <w:rPr>
          <w:rFonts w:ascii="Arial" w:hAnsi="Arial" w:cs="Arial"/>
          <w:lang w:val="en-GB"/>
        </w:rPr>
        <w:t>(7s), pp.558-571.</w:t>
      </w:r>
      <w:r w:rsidR="00DA2EE4" w:rsidRPr="003C37BC">
        <w:rPr>
          <w:rFonts w:ascii="Arial" w:hAnsi="Arial" w:cs="Arial"/>
          <w:lang w:val="en-GB"/>
        </w:rPr>
        <w:t xml:space="preserve"> </w:t>
      </w:r>
      <w:r w:rsidR="00DA2EE4" w:rsidRPr="003C37BC">
        <w:rPr>
          <w:rFonts w:ascii="Arial" w:hAnsi="Arial" w:cs="Arial"/>
        </w:rPr>
        <w:t xml:space="preserve">DOI: </w:t>
      </w:r>
      <w:hyperlink r:id="rId15" w:history="1">
        <w:r w:rsidR="00DA2EE4" w:rsidRPr="003C37BC">
          <w:rPr>
            <w:rStyle w:val="Hyperlink"/>
            <w:rFonts w:ascii="Arial" w:hAnsi="Arial" w:cs="Arial"/>
          </w:rPr>
          <w:t>https://doi.org/10.3390/su13084383</w:t>
        </w:r>
      </w:hyperlink>
    </w:p>
    <w:p w14:paraId="18FA67AA" w14:textId="739B19E2" w:rsidR="009103F4" w:rsidRPr="003C37BC" w:rsidRDefault="00DA2EE4" w:rsidP="00DA2EE4">
      <w:pPr>
        <w:ind w:left="720" w:hanging="720"/>
        <w:rPr>
          <w:rFonts w:ascii="Arial" w:hAnsi="Arial" w:cs="Arial"/>
        </w:rPr>
      </w:pPr>
      <w:proofErr w:type="spellStart"/>
      <w:r w:rsidRPr="003C37BC">
        <w:rPr>
          <w:rFonts w:ascii="Arial" w:hAnsi="Arial" w:cs="Arial"/>
        </w:rPr>
        <w:t>Thommandru</w:t>
      </w:r>
      <w:proofErr w:type="spellEnd"/>
      <w:r w:rsidRPr="003C37BC">
        <w:rPr>
          <w:rFonts w:ascii="Arial" w:hAnsi="Arial" w:cs="Arial"/>
        </w:rPr>
        <w:t>, A., Espinoza-</w:t>
      </w:r>
      <w:proofErr w:type="spellStart"/>
      <w:r w:rsidRPr="003C37BC">
        <w:rPr>
          <w:rFonts w:ascii="Arial" w:hAnsi="Arial" w:cs="Arial"/>
        </w:rPr>
        <w:t>Maguiña</w:t>
      </w:r>
      <w:proofErr w:type="spellEnd"/>
      <w:r w:rsidRPr="003C37BC">
        <w:rPr>
          <w:rFonts w:ascii="Arial" w:hAnsi="Arial" w:cs="Arial"/>
        </w:rPr>
        <w:t>, M., Ramirez-Asis, E., Ray, S., Naved, M., &amp; Guzman-Avalos, M. (2023). Role of tourism and hospitality business in economic development. </w:t>
      </w:r>
      <w:r w:rsidRPr="003C37BC">
        <w:rPr>
          <w:rFonts w:ascii="Arial" w:hAnsi="Arial" w:cs="Arial"/>
          <w:i/>
          <w:iCs/>
        </w:rPr>
        <w:t>Materials Today: Proceedings</w:t>
      </w:r>
      <w:r w:rsidRPr="003C37BC">
        <w:rPr>
          <w:rFonts w:ascii="Arial" w:hAnsi="Arial" w:cs="Arial"/>
        </w:rPr>
        <w:t>, </w:t>
      </w:r>
      <w:r w:rsidRPr="003C37BC">
        <w:rPr>
          <w:rFonts w:ascii="Arial" w:hAnsi="Arial" w:cs="Arial"/>
          <w:i/>
          <w:iCs/>
        </w:rPr>
        <w:t>80</w:t>
      </w:r>
      <w:r w:rsidRPr="003C37BC">
        <w:rPr>
          <w:rFonts w:ascii="Arial" w:hAnsi="Arial" w:cs="Arial"/>
        </w:rPr>
        <w:t xml:space="preserve">, 2901-2904. DOI: </w:t>
      </w:r>
      <w:hyperlink r:id="rId16" w:history="1">
        <w:r w:rsidRPr="003C37BC">
          <w:rPr>
            <w:rStyle w:val="Hyperlink"/>
            <w:rFonts w:ascii="Arial" w:hAnsi="Arial" w:cs="Arial"/>
          </w:rPr>
          <w:t>https://doi.org/10.1016/j.matpr.2021.07.059</w:t>
        </w:r>
      </w:hyperlink>
    </w:p>
    <w:p w14:paraId="521628FA" w14:textId="77777777" w:rsidR="00DA2EE4" w:rsidRPr="005011D8" w:rsidRDefault="00DA2EE4" w:rsidP="00DA2EE4">
      <w:pPr>
        <w:rPr>
          <w:lang w:val="en-GB"/>
        </w:rPr>
      </w:pPr>
    </w:p>
    <w:sectPr w:rsidR="00DA2EE4" w:rsidRPr="005011D8" w:rsidSect="00D47FDB">
      <w:headerReference w:type="default" r:id="rId17"/>
      <w:headerReference w:type="first" r:id="rId18"/>
      <w:pgSz w:w="12240" w:h="15840"/>
      <w:pgMar w:top="1440" w:right="1440" w:bottom="1440" w:left="1440" w:header="187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47EE1" w14:textId="77777777" w:rsidR="00175EF1" w:rsidRDefault="00175EF1" w:rsidP="00A54435">
      <w:pPr>
        <w:spacing w:after="0" w:line="240" w:lineRule="auto"/>
      </w:pPr>
      <w:r>
        <w:separator/>
      </w:r>
    </w:p>
  </w:endnote>
  <w:endnote w:type="continuationSeparator" w:id="0">
    <w:p w14:paraId="497F9B87" w14:textId="77777777" w:rsidR="00175EF1" w:rsidRDefault="00175EF1" w:rsidP="00A54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E951A" w14:textId="77777777" w:rsidR="00175EF1" w:rsidRDefault="00175EF1" w:rsidP="00A54435">
      <w:pPr>
        <w:spacing w:after="0" w:line="240" w:lineRule="auto"/>
      </w:pPr>
      <w:r>
        <w:separator/>
      </w:r>
    </w:p>
  </w:footnote>
  <w:footnote w:type="continuationSeparator" w:id="0">
    <w:p w14:paraId="74C40671" w14:textId="77777777" w:rsidR="00175EF1" w:rsidRDefault="00175EF1" w:rsidP="00A544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6587754"/>
      <w:docPartObj>
        <w:docPartGallery w:val="Page Numbers (Top of Page)"/>
        <w:docPartUnique/>
      </w:docPartObj>
    </w:sdtPr>
    <w:sdtEndPr>
      <w:rPr>
        <w:noProof/>
        <w:sz w:val="20"/>
        <w:szCs w:val="20"/>
      </w:rPr>
    </w:sdtEndPr>
    <w:sdtContent>
      <w:p w14:paraId="76C7EE85" w14:textId="7D4B7A97" w:rsidR="00995E53" w:rsidRPr="00995E53" w:rsidRDefault="000C5FD4" w:rsidP="00D47FDB">
        <w:pPr>
          <w:pStyle w:val="Header"/>
          <w:rPr>
            <w:sz w:val="20"/>
            <w:szCs w:val="20"/>
          </w:rPr>
        </w:pPr>
        <w:r w:rsidRPr="000C5FD4">
          <w:rPr>
            <w:rFonts w:ascii="Arial" w:hAnsi="Arial" w:cs="Arial"/>
            <w:sz w:val="20"/>
            <w:szCs w:val="20"/>
            <w:lang w:val="en-GB"/>
          </w:rPr>
          <w:t xml:space="preserve">Planning </w:t>
        </w:r>
        <w:r>
          <w:rPr>
            <w:rFonts w:ascii="Arial" w:hAnsi="Arial" w:cs="Arial"/>
            <w:sz w:val="20"/>
            <w:szCs w:val="20"/>
            <w:lang w:val="en-GB"/>
          </w:rPr>
          <w:t>a</w:t>
        </w:r>
        <w:r w:rsidRPr="000C5FD4">
          <w:rPr>
            <w:rFonts w:ascii="Arial" w:hAnsi="Arial" w:cs="Arial"/>
            <w:sz w:val="20"/>
            <w:szCs w:val="20"/>
            <w:lang w:val="en-GB"/>
          </w:rPr>
          <w:t xml:space="preserve">nd Management </w:t>
        </w:r>
        <w:r>
          <w:rPr>
            <w:rFonts w:ascii="Arial" w:hAnsi="Arial" w:cs="Arial"/>
            <w:sz w:val="20"/>
            <w:szCs w:val="20"/>
            <w:lang w:val="en-GB"/>
          </w:rPr>
          <w:t>o</w:t>
        </w:r>
        <w:r w:rsidRPr="000C5FD4">
          <w:rPr>
            <w:rFonts w:ascii="Arial" w:hAnsi="Arial" w:cs="Arial"/>
            <w:sz w:val="20"/>
            <w:szCs w:val="20"/>
            <w:lang w:val="en-GB"/>
          </w:rPr>
          <w:t xml:space="preserve">f Sustainable Tourism Spaces </w:t>
        </w:r>
        <w:r>
          <w:rPr>
            <w:rFonts w:ascii="Arial" w:hAnsi="Arial" w:cs="Arial"/>
            <w:sz w:val="20"/>
            <w:szCs w:val="20"/>
            <w:lang w:val="en-GB"/>
          </w:rPr>
          <w:tab/>
        </w:r>
        <w:r w:rsidR="00995E53" w:rsidRPr="000C5FD4">
          <w:rPr>
            <w:rFonts w:ascii="Arial" w:hAnsi="Arial" w:cs="Arial"/>
            <w:sz w:val="20"/>
            <w:szCs w:val="20"/>
          </w:rPr>
          <w:fldChar w:fldCharType="begin"/>
        </w:r>
        <w:r w:rsidR="00995E53" w:rsidRPr="000C5FD4">
          <w:rPr>
            <w:rFonts w:ascii="Arial" w:hAnsi="Arial" w:cs="Arial"/>
            <w:sz w:val="20"/>
            <w:szCs w:val="20"/>
          </w:rPr>
          <w:instrText xml:space="preserve"> PAGE   \* MERGEFORMAT </w:instrText>
        </w:r>
        <w:r w:rsidR="00995E53" w:rsidRPr="000C5FD4">
          <w:rPr>
            <w:rFonts w:ascii="Arial" w:hAnsi="Arial" w:cs="Arial"/>
            <w:sz w:val="20"/>
            <w:szCs w:val="20"/>
          </w:rPr>
          <w:fldChar w:fldCharType="separate"/>
        </w:r>
        <w:r w:rsidR="00995E53" w:rsidRPr="000C5FD4">
          <w:rPr>
            <w:rFonts w:ascii="Arial" w:hAnsi="Arial" w:cs="Arial"/>
            <w:noProof/>
            <w:sz w:val="20"/>
            <w:szCs w:val="20"/>
          </w:rPr>
          <w:t>2</w:t>
        </w:r>
        <w:r w:rsidR="00995E53" w:rsidRPr="000C5FD4">
          <w:rPr>
            <w:rFonts w:ascii="Arial" w:hAnsi="Arial" w:cs="Arial"/>
            <w:noProof/>
            <w:sz w:val="20"/>
            <w:szCs w:val="20"/>
          </w:rPr>
          <w:fldChar w:fldCharType="end"/>
        </w:r>
      </w:p>
    </w:sdtContent>
  </w:sdt>
  <w:p w14:paraId="547F2915" w14:textId="4684FC18" w:rsidR="008416AE" w:rsidRDefault="008416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4DC15" w14:textId="3945C7D0" w:rsidR="00D47FDB" w:rsidRPr="000C5FD4" w:rsidRDefault="00D47FDB" w:rsidP="000C5FD4">
    <w:pPr>
      <w:spacing w:after="160" w:line="259" w:lineRule="auto"/>
      <w:jc w:val="left"/>
      <w:rPr>
        <w:rFonts w:ascii="Arial" w:eastAsiaTheme="majorEastAsia" w:hAnsi="Arial" w:cs="Arial"/>
        <w:b/>
        <w:sz w:val="32"/>
        <w:szCs w:val="32"/>
        <w:lang w:val="en-GB"/>
      </w:rPr>
    </w:pPr>
    <w:r w:rsidRPr="00D47FDB">
      <w:rPr>
        <w:rFonts w:ascii="Arial" w:hAnsi="Arial" w:cs="Arial"/>
        <w:i/>
        <w:iCs/>
        <w:sz w:val="20"/>
        <w:szCs w:val="20"/>
        <w:lang w:val="en-US"/>
      </w:rPr>
      <w:t xml:space="preserve">Running Head: </w:t>
    </w:r>
    <w:r w:rsidR="000C5FD4" w:rsidRPr="000C5FD4">
      <w:rPr>
        <w:rFonts w:ascii="Arial" w:hAnsi="Arial" w:cs="Arial"/>
        <w:sz w:val="20"/>
        <w:szCs w:val="20"/>
        <w:lang w:val="en-GB"/>
      </w:rPr>
      <w:t xml:space="preserve">Planning </w:t>
    </w:r>
    <w:r w:rsidR="000C5FD4">
      <w:rPr>
        <w:rFonts w:ascii="Arial" w:hAnsi="Arial" w:cs="Arial"/>
        <w:sz w:val="20"/>
        <w:szCs w:val="20"/>
        <w:lang w:val="en-GB"/>
      </w:rPr>
      <w:t>a</w:t>
    </w:r>
    <w:r w:rsidR="000C5FD4" w:rsidRPr="000C5FD4">
      <w:rPr>
        <w:rFonts w:ascii="Arial" w:hAnsi="Arial" w:cs="Arial"/>
        <w:sz w:val="20"/>
        <w:szCs w:val="20"/>
        <w:lang w:val="en-GB"/>
      </w:rPr>
      <w:t xml:space="preserve">nd Management </w:t>
    </w:r>
    <w:r w:rsidR="000C5FD4">
      <w:rPr>
        <w:rFonts w:ascii="Arial" w:hAnsi="Arial" w:cs="Arial"/>
        <w:sz w:val="20"/>
        <w:szCs w:val="20"/>
        <w:lang w:val="en-GB"/>
      </w:rPr>
      <w:t>o</w:t>
    </w:r>
    <w:r w:rsidR="000C5FD4" w:rsidRPr="000C5FD4">
      <w:rPr>
        <w:rFonts w:ascii="Arial" w:hAnsi="Arial" w:cs="Arial"/>
        <w:sz w:val="20"/>
        <w:szCs w:val="20"/>
        <w:lang w:val="en-GB"/>
      </w:rPr>
      <w:t xml:space="preserve">f Sustainable Tourism Spaces </w:t>
    </w:r>
    <w:r w:rsidR="000C5FD4" w:rsidRPr="00D47FDB">
      <w:rPr>
        <w:rFonts w:ascii="Arial" w:hAnsi="Arial" w:cs="Arial"/>
        <w:sz w:val="32"/>
        <w:szCs w:val="32"/>
        <w:lang w:val="en-GB"/>
      </w:rPr>
      <w:br w:type="pag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807"/>
    <w:rsid w:val="0000621B"/>
    <w:rsid w:val="000C5FD4"/>
    <w:rsid w:val="000F66FE"/>
    <w:rsid w:val="00175EF1"/>
    <w:rsid w:val="002F6E0A"/>
    <w:rsid w:val="00300B55"/>
    <w:rsid w:val="003A5016"/>
    <w:rsid w:val="003C37BC"/>
    <w:rsid w:val="004174FE"/>
    <w:rsid w:val="004E7618"/>
    <w:rsid w:val="005011D8"/>
    <w:rsid w:val="005268AC"/>
    <w:rsid w:val="005D2AE6"/>
    <w:rsid w:val="005F2A72"/>
    <w:rsid w:val="00667807"/>
    <w:rsid w:val="008416AE"/>
    <w:rsid w:val="008C6E8B"/>
    <w:rsid w:val="009044E0"/>
    <w:rsid w:val="009103F4"/>
    <w:rsid w:val="00944ACA"/>
    <w:rsid w:val="00995E53"/>
    <w:rsid w:val="009A19E7"/>
    <w:rsid w:val="009C20F0"/>
    <w:rsid w:val="00A54435"/>
    <w:rsid w:val="00AB2161"/>
    <w:rsid w:val="00B26BCC"/>
    <w:rsid w:val="00B664C1"/>
    <w:rsid w:val="00BE3520"/>
    <w:rsid w:val="00D15B6B"/>
    <w:rsid w:val="00D47FDB"/>
    <w:rsid w:val="00DA2EE4"/>
    <w:rsid w:val="00DC20B3"/>
    <w:rsid w:val="00E32B4B"/>
    <w:rsid w:val="00E61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CD0C3"/>
  <w15:chartTrackingRefBased/>
  <w15:docId w15:val="{EE43D82C-B916-4365-AE8A-0AC2173CA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A72"/>
    <w:pPr>
      <w:spacing w:after="200" w:line="360" w:lineRule="auto"/>
      <w:jc w:val="both"/>
    </w:pPr>
    <w:rPr>
      <w:rFonts w:ascii="Times New Roman" w:hAnsi="Times New Roman"/>
      <w:kern w:val="0"/>
      <w:sz w:val="24"/>
      <w:szCs w:val="24"/>
      <w:lang w:val="en"/>
      <w14:ligatures w14:val="none"/>
    </w:rPr>
  </w:style>
  <w:style w:type="paragraph" w:styleId="Heading1">
    <w:name w:val="heading 1"/>
    <w:basedOn w:val="Normal"/>
    <w:next w:val="Normal"/>
    <w:link w:val="Heading1Char"/>
    <w:autoRedefine/>
    <w:uiPriority w:val="9"/>
    <w:qFormat/>
    <w:rsid w:val="00DA2EE4"/>
    <w:pPr>
      <w:keepNext/>
      <w:keepLines/>
      <w:spacing w:before="240" w:after="0"/>
      <w:jc w:val="left"/>
      <w:outlineLvl w:val="0"/>
    </w:pPr>
    <w:rPr>
      <w:rFonts w:eastAsiaTheme="majorEastAsia" w:cstheme="majorBidi"/>
      <w:b/>
      <w:lang w:val="en-GB"/>
    </w:rPr>
  </w:style>
  <w:style w:type="paragraph" w:styleId="Heading2">
    <w:name w:val="heading 2"/>
    <w:basedOn w:val="Normal"/>
    <w:next w:val="Normal"/>
    <w:link w:val="Heading2Char"/>
    <w:autoRedefine/>
    <w:uiPriority w:val="9"/>
    <w:unhideWhenUsed/>
    <w:qFormat/>
    <w:rsid w:val="005F2A72"/>
    <w:pPr>
      <w:keepNext/>
      <w:keepLines/>
      <w:spacing w:before="40" w:after="0"/>
      <w:outlineLvl w:val="1"/>
    </w:pPr>
    <w:rPr>
      <w:rFonts w:asciiTheme="minorHAnsi" w:eastAsiaTheme="majorEastAsia" w:hAnsiTheme="minorHAnsi" w:cstheme="majorBidi"/>
      <w:b/>
      <w:sz w:val="26"/>
      <w:szCs w:val="26"/>
    </w:rPr>
  </w:style>
  <w:style w:type="paragraph" w:styleId="Heading3">
    <w:name w:val="heading 3"/>
    <w:basedOn w:val="Normal"/>
    <w:next w:val="Normal"/>
    <w:link w:val="Heading3Char"/>
    <w:autoRedefine/>
    <w:uiPriority w:val="9"/>
    <w:semiHidden/>
    <w:unhideWhenUsed/>
    <w:qFormat/>
    <w:rsid w:val="005F2A72"/>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66780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6780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6780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6780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6780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6780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EE4"/>
    <w:rPr>
      <w:rFonts w:ascii="Times New Roman" w:eastAsiaTheme="majorEastAsia" w:hAnsi="Times New Roman" w:cstheme="majorBidi"/>
      <w:b/>
      <w:kern w:val="0"/>
      <w:sz w:val="24"/>
      <w:szCs w:val="24"/>
      <w:lang w:val="en-GB"/>
      <w14:ligatures w14:val="none"/>
    </w:rPr>
  </w:style>
  <w:style w:type="character" w:customStyle="1" w:styleId="Heading2Char">
    <w:name w:val="Heading 2 Char"/>
    <w:basedOn w:val="DefaultParagraphFont"/>
    <w:link w:val="Heading2"/>
    <w:uiPriority w:val="9"/>
    <w:rsid w:val="005F2A72"/>
    <w:rPr>
      <w:rFonts w:eastAsiaTheme="majorEastAsia" w:cstheme="majorBidi"/>
      <w:b/>
      <w:kern w:val="0"/>
      <w:sz w:val="26"/>
      <w:szCs w:val="26"/>
      <w:lang w:val="en"/>
      <w14:ligatures w14:val="none"/>
    </w:rPr>
  </w:style>
  <w:style w:type="character" w:customStyle="1" w:styleId="Heading3Char">
    <w:name w:val="Heading 3 Char"/>
    <w:basedOn w:val="DefaultParagraphFont"/>
    <w:link w:val="Heading3"/>
    <w:uiPriority w:val="9"/>
    <w:semiHidden/>
    <w:rsid w:val="005F2A72"/>
    <w:rPr>
      <w:rFonts w:ascii="Times New Roman" w:eastAsiaTheme="majorEastAsia" w:hAnsi="Times New Roman" w:cstheme="majorBidi"/>
      <w:b/>
      <w:color w:val="000000" w:themeColor="text1"/>
      <w:kern w:val="0"/>
      <w:sz w:val="24"/>
      <w:szCs w:val="28"/>
      <w:lang w:val="en"/>
      <w14:ligatures w14:val="none"/>
    </w:rPr>
  </w:style>
  <w:style w:type="character" w:customStyle="1" w:styleId="Heading4Char">
    <w:name w:val="Heading 4 Char"/>
    <w:basedOn w:val="DefaultParagraphFont"/>
    <w:link w:val="Heading4"/>
    <w:uiPriority w:val="9"/>
    <w:semiHidden/>
    <w:rsid w:val="00667807"/>
    <w:rPr>
      <w:rFonts w:eastAsiaTheme="majorEastAsia" w:cstheme="majorBidi"/>
      <w:i/>
      <w:iCs/>
      <w:color w:val="2F5496" w:themeColor="accent1" w:themeShade="BF"/>
      <w:kern w:val="0"/>
      <w:sz w:val="24"/>
      <w:szCs w:val="24"/>
      <w:lang w:val="en"/>
      <w14:ligatures w14:val="none"/>
    </w:rPr>
  </w:style>
  <w:style w:type="character" w:customStyle="1" w:styleId="Heading5Char">
    <w:name w:val="Heading 5 Char"/>
    <w:basedOn w:val="DefaultParagraphFont"/>
    <w:link w:val="Heading5"/>
    <w:uiPriority w:val="9"/>
    <w:semiHidden/>
    <w:rsid w:val="00667807"/>
    <w:rPr>
      <w:rFonts w:eastAsiaTheme="majorEastAsia" w:cstheme="majorBidi"/>
      <w:color w:val="2F5496" w:themeColor="accent1" w:themeShade="BF"/>
      <w:kern w:val="0"/>
      <w:sz w:val="24"/>
      <w:szCs w:val="24"/>
      <w:lang w:val="en"/>
      <w14:ligatures w14:val="none"/>
    </w:rPr>
  </w:style>
  <w:style w:type="character" w:customStyle="1" w:styleId="Heading6Char">
    <w:name w:val="Heading 6 Char"/>
    <w:basedOn w:val="DefaultParagraphFont"/>
    <w:link w:val="Heading6"/>
    <w:uiPriority w:val="9"/>
    <w:semiHidden/>
    <w:rsid w:val="00667807"/>
    <w:rPr>
      <w:rFonts w:eastAsiaTheme="majorEastAsia" w:cstheme="majorBidi"/>
      <w:i/>
      <w:iCs/>
      <w:color w:val="595959" w:themeColor="text1" w:themeTint="A6"/>
      <w:kern w:val="0"/>
      <w:sz w:val="24"/>
      <w:szCs w:val="24"/>
      <w:lang w:val="en"/>
      <w14:ligatures w14:val="none"/>
    </w:rPr>
  </w:style>
  <w:style w:type="character" w:customStyle="1" w:styleId="Heading7Char">
    <w:name w:val="Heading 7 Char"/>
    <w:basedOn w:val="DefaultParagraphFont"/>
    <w:link w:val="Heading7"/>
    <w:uiPriority w:val="9"/>
    <w:semiHidden/>
    <w:rsid w:val="00667807"/>
    <w:rPr>
      <w:rFonts w:eastAsiaTheme="majorEastAsia" w:cstheme="majorBidi"/>
      <w:color w:val="595959" w:themeColor="text1" w:themeTint="A6"/>
      <w:kern w:val="0"/>
      <w:sz w:val="24"/>
      <w:szCs w:val="24"/>
      <w:lang w:val="en"/>
      <w14:ligatures w14:val="none"/>
    </w:rPr>
  </w:style>
  <w:style w:type="character" w:customStyle="1" w:styleId="Heading8Char">
    <w:name w:val="Heading 8 Char"/>
    <w:basedOn w:val="DefaultParagraphFont"/>
    <w:link w:val="Heading8"/>
    <w:uiPriority w:val="9"/>
    <w:semiHidden/>
    <w:rsid w:val="00667807"/>
    <w:rPr>
      <w:rFonts w:eastAsiaTheme="majorEastAsia" w:cstheme="majorBidi"/>
      <w:i/>
      <w:iCs/>
      <w:color w:val="272727" w:themeColor="text1" w:themeTint="D8"/>
      <w:kern w:val="0"/>
      <w:sz w:val="24"/>
      <w:szCs w:val="24"/>
      <w:lang w:val="en"/>
      <w14:ligatures w14:val="none"/>
    </w:rPr>
  </w:style>
  <w:style w:type="character" w:customStyle="1" w:styleId="Heading9Char">
    <w:name w:val="Heading 9 Char"/>
    <w:basedOn w:val="DefaultParagraphFont"/>
    <w:link w:val="Heading9"/>
    <w:uiPriority w:val="9"/>
    <w:semiHidden/>
    <w:rsid w:val="00667807"/>
    <w:rPr>
      <w:rFonts w:eastAsiaTheme="majorEastAsia" w:cstheme="majorBidi"/>
      <w:color w:val="272727" w:themeColor="text1" w:themeTint="D8"/>
      <w:kern w:val="0"/>
      <w:sz w:val="24"/>
      <w:szCs w:val="24"/>
      <w:lang w:val="en"/>
      <w14:ligatures w14:val="none"/>
    </w:rPr>
  </w:style>
  <w:style w:type="paragraph" w:styleId="Title">
    <w:name w:val="Title"/>
    <w:basedOn w:val="Normal"/>
    <w:next w:val="Normal"/>
    <w:link w:val="TitleChar"/>
    <w:uiPriority w:val="10"/>
    <w:qFormat/>
    <w:rsid w:val="006678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807"/>
    <w:rPr>
      <w:rFonts w:asciiTheme="majorHAnsi" w:eastAsiaTheme="majorEastAsia" w:hAnsiTheme="majorHAnsi" w:cstheme="majorBidi"/>
      <w:spacing w:val="-10"/>
      <w:kern w:val="28"/>
      <w:sz w:val="56"/>
      <w:szCs w:val="56"/>
      <w:lang w:val="en"/>
      <w14:ligatures w14:val="none"/>
    </w:rPr>
  </w:style>
  <w:style w:type="paragraph" w:styleId="Subtitle">
    <w:name w:val="Subtitle"/>
    <w:basedOn w:val="Normal"/>
    <w:next w:val="Normal"/>
    <w:link w:val="SubtitleChar"/>
    <w:uiPriority w:val="11"/>
    <w:qFormat/>
    <w:rsid w:val="0066780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807"/>
    <w:rPr>
      <w:rFonts w:eastAsiaTheme="majorEastAsia" w:cstheme="majorBidi"/>
      <w:color w:val="595959" w:themeColor="text1" w:themeTint="A6"/>
      <w:spacing w:val="15"/>
      <w:kern w:val="0"/>
      <w:sz w:val="28"/>
      <w:szCs w:val="28"/>
      <w:lang w:val="en"/>
      <w14:ligatures w14:val="none"/>
    </w:rPr>
  </w:style>
  <w:style w:type="paragraph" w:styleId="Quote">
    <w:name w:val="Quote"/>
    <w:basedOn w:val="Normal"/>
    <w:next w:val="Normal"/>
    <w:link w:val="QuoteChar"/>
    <w:uiPriority w:val="29"/>
    <w:qFormat/>
    <w:rsid w:val="006678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67807"/>
    <w:rPr>
      <w:rFonts w:ascii="Times New Roman" w:hAnsi="Times New Roman"/>
      <w:i/>
      <w:iCs/>
      <w:color w:val="404040" w:themeColor="text1" w:themeTint="BF"/>
      <w:kern w:val="0"/>
      <w:sz w:val="24"/>
      <w:szCs w:val="24"/>
      <w:lang w:val="en"/>
      <w14:ligatures w14:val="none"/>
    </w:rPr>
  </w:style>
  <w:style w:type="paragraph" w:styleId="ListParagraph">
    <w:name w:val="List Paragraph"/>
    <w:basedOn w:val="Normal"/>
    <w:uiPriority w:val="34"/>
    <w:qFormat/>
    <w:rsid w:val="00667807"/>
    <w:pPr>
      <w:ind w:left="720"/>
      <w:contextualSpacing/>
    </w:pPr>
  </w:style>
  <w:style w:type="character" w:styleId="IntenseEmphasis">
    <w:name w:val="Intense Emphasis"/>
    <w:basedOn w:val="DefaultParagraphFont"/>
    <w:uiPriority w:val="21"/>
    <w:qFormat/>
    <w:rsid w:val="00667807"/>
    <w:rPr>
      <w:i/>
      <w:iCs/>
      <w:color w:val="2F5496" w:themeColor="accent1" w:themeShade="BF"/>
    </w:rPr>
  </w:style>
  <w:style w:type="paragraph" w:styleId="IntenseQuote">
    <w:name w:val="Intense Quote"/>
    <w:basedOn w:val="Normal"/>
    <w:next w:val="Normal"/>
    <w:link w:val="IntenseQuoteChar"/>
    <w:uiPriority w:val="30"/>
    <w:qFormat/>
    <w:rsid w:val="006678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7807"/>
    <w:rPr>
      <w:rFonts w:ascii="Times New Roman" w:hAnsi="Times New Roman"/>
      <w:i/>
      <w:iCs/>
      <w:color w:val="2F5496" w:themeColor="accent1" w:themeShade="BF"/>
      <w:kern w:val="0"/>
      <w:sz w:val="24"/>
      <w:szCs w:val="24"/>
      <w:lang w:val="en"/>
      <w14:ligatures w14:val="none"/>
    </w:rPr>
  </w:style>
  <w:style w:type="character" w:styleId="IntenseReference">
    <w:name w:val="Intense Reference"/>
    <w:basedOn w:val="DefaultParagraphFont"/>
    <w:uiPriority w:val="32"/>
    <w:qFormat/>
    <w:rsid w:val="00667807"/>
    <w:rPr>
      <w:b/>
      <w:bCs/>
      <w:smallCaps/>
      <w:color w:val="2F5496" w:themeColor="accent1" w:themeShade="BF"/>
      <w:spacing w:val="5"/>
    </w:rPr>
  </w:style>
  <w:style w:type="paragraph" w:styleId="TOCHeading">
    <w:name w:val="TOC Heading"/>
    <w:basedOn w:val="Heading1"/>
    <w:next w:val="Normal"/>
    <w:uiPriority w:val="39"/>
    <w:unhideWhenUsed/>
    <w:qFormat/>
    <w:rsid w:val="005011D8"/>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011D8"/>
    <w:pPr>
      <w:spacing w:after="100"/>
    </w:pPr>
  </w:style>
  <w:style w:type="character" w:styleId="Hyperlink">
    <w:name w:val="Hyperlink"/>
    <w:basedOn w:val="DefaultParagraphFont"/>
    <w:uiPriority w:val="99"/>
    <w:unhideWhenUsed/>
    <w:rsid w:val="005011D8"/>
    <w:rPr>
      <w:color w:val="0563C1" w:themeColor="hyperlink"/>
      <w:u w:val="single"/>
    </w:rPr>
  </w:style>
  <w:style w:type="paragraph" w:styleId="Header">
    <w:name w:val="header"/>
    <w:basedOn w:val="Normal"/>
    <w:link w:val="HeaderChar"/>
    <w:uiPriority w:val="99"/>
    <w:unhideWhenUsed/>
    <w:rsid w:val="00A544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4435"/>
    <w:rPr>
      <w:rFonts w:ascii="Times New Roman" w:hAnsi="Times New Roman"/>
      <w:kern w:val="0"/>
      <w:sz w:val="24"/>
      <w:szCs w:val="24"/>
      <w:lang w:val="en"/>
      <w14:ligatures w14:val="none"/>
    </w:rPr>
  </w:style>
  <w:style w:type="paragraph" w:styleId="Footer">
    <w:name w:val="footer"/>
    <w:basedOn w:val="Normal"/>
    <w:link w:val="FooterChar"/>
    <w:uiPriority w:val="99"/>
    <w:unhideWhenUsed/>
    <w:rsid w:val="00A544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435"/>
    <w:rPr>
      <w:rFonts w:ascii="Times New Roman" w:hAnsi="Times New Roman"/>
      <w:kern w:val="0"/>
      <w:sz w:val="24"/>
      <w:szCs w:val="24"/>
      <w:lang w:val="en"/>
      <w14:ligatures w14:val="none"/>
    </w:rPr>
  </w:style>
  <w:style w:type="character" w:styleId="UnresolvedMention">
    <w:name w:val="Unresolved Mention"/>
    <w:basedOn w:val="DefaultParagraphFont"/>
    <w:uiPriority w:val="99"/>
    <w:semiHidden/>
    <w:unhideWhenUsed/>
    <w:rsid w:val="00995E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356-022-22496-w" TargetMode="External"/><Relationship Id="rId13" Type="http://schemas.openxmlformats.org/officeDocument/2006/relationships/hyperlink" Target="https://doi.org/10.3390/su13084383"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doi.org/10.1007/s42398-023-00266-9" TargetMode="External"/><Relationship Id="rId12" Type="http://schemas.openxmlformats.org/officeDocument/2006/relationships/hyperlink" Target="https://doi.org/10.1080/15313220.2023.2223029"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016/j.matpr.2021.07.05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77/0047287520933679" TargetMode="External"/><Relationship Id="rId5" Type="http://schemas.openxmlformats.org/officeDocument/2006/relationships/footnotes" Target="footnotes.xml"/><Relationship Id="rId15" Type="http://schemas.openxmlformats.org/officeDocument/2006/relationships/hyperlink" Target="https://doi.org/10.3390/su13084383" TargetMode="External"/><Relationship Id="rId10" Type="http://schemas.openxmlformats.org/officeDocument/2006/relationships/hyperlink" Target="https://doi.org/10.1108/IJTC-12-2021-29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390/su13052927" TargetMode="External"/><Relationship Id="rId14" Type="http://schemas.openxmlformats.org/officeDocument/2006/relationships/hyperlink" Target="https://doi.org/10.1177/095935432311740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A6E98-A000-4A58-95DB-B546641D6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2857</Words>
  <Characters>16287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ABHI</cp:lastModifiedBy>
  <cp:revision>16</cp:revision>
  <dcterms:created xsi:type="dcterms:W3CDTF">2025-09-26T06:48:00Z</dcterms:created>
  <dcterms:modified xsi:type="dcterms:W3CDTF">2025-09-26T08:25:00Z</dcterms:modified>
</cp:coreProperties>
</file>