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06078" w14:textId="77777777" w:rsidR="00E616E8" w:rsidRPr="002F1C69" w:rsidRDefault="00E616E8" w:rsidP="00E616E8">
      <w:pPr>
        <w:spacing w:line="480" w:lineRule="auto"/>
        <w:jc w:val="center"/>
        <w:rPr>
          <w:rFonts w:ascii="Times New Roman" w:hAnsi="Times New Roman" w:cs="Times New Roman"/>
          <w:color w:val="000000" w:themeColor="text1"/>
          <w:szCs w:val="24"/>
        </w:rPr>
      </w:pPr>
    </w:p>
    <w:p w14:paraId="2831A40D" w14:textId="77777777" w:rsidR="00E616E8" w:rsidRPr="002F1C69" w:rsidRDefault="00E616E8" w:rsidP="00E616E8">
      <w:pPr>
        <w:spacing w:line="480" w:lineRule="auto"/>
        <w:jc w:val="center"/>
        <w:rPr>
          <w:rFonts w:ascii="Times New Roman" w:hAnsi="Times New Roman" w:cs="Times New Roman"/>
          <w:color w:val="000000" w:themeColor="text1"/>
          <w:szCs w:val="24"/>
        </w:rPr>
      </w:pPr>
      <w:r w:rsidRPr="002F1C6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4093FCA5" wp14:editId="08501AFD">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136F5301" w14:textId="77777777" w:rsidR="00E616E8" w:rsidRPr="002F1C69" w:rsidRDefault="00E616E8" w:rsidP="00E616E8">
      <w:pPr>
        <w:spacing w:line="480" w:lineRule="auto"/>
        <w:jc w:val="center"/>
        <w:rPr>
          <w:rFonts w:ascii="Times New Roman" w:hAnsi="Times New Roman" w:cs="Times New Roman"/>
          <w:color w:val="000000" w:themeColor="text1"/>
          <w:szCs w:val="24"/>
        </w:rPr>
      </w:pPr>
    </w:p>
    <w:p w14:paraId="30CFFD65" w14:textId="77777777" w:rsidR="00E616E8" w:rsidRPr="002F1C69" w:rsidRDefault="00E616E8" w:rsidP="00E616E8">
      <w:pPr>
        <w:spacing w:line="480" w:lineRule="auto"/>
        <w:jc w:val="center"/>
        <w:rPr>
          <w:rFonts w:ascii="Times New Roman" w:hAnsi="Times New Roman" w:cs="Times New Roman"/>
          <w:b/>
          <w:bCs/>
          <w:color w:val="000000" w:themeColor="text1"/>
          <w:szCs w:val="24"/>
        </w:rPr>
      </w:pPr>
    </w:p>
    <w:p w14:paraId="3638CFBA" w14:textId="77777777" w:rsidR="00E616E8" w:rsidRPr="002F1C69" w:rsidRDefault="00E616E8" w:rsidP="00E616E8">
      <w:pPr>
        <w:spacing w:line="480" w:lineRule="auto"/>
        <w:jc w:val="center"/>
        <w:rPr>
          <w:rFonts w:ascii="Times New Roman" w:hAnsi="Times New Roman" w:cs="Times New Roman"/>
          <w:b/>
          <w:bCs/>
          <w:color w:val="000000" w:themeColor="text1"/>
          <w:szCs w:val="24"/>
        </w:rPr>
      </w:pPr>
      <w:r w:rsidRPr="002F1C69">
        <w:rPr>
          <w:rFonts w:ascii="Times New Roman" w:hAnsi="Times New Roman" w:cs="Times New Roman"/>
          <w:b/>
          <w:bCs/>
          <w:color w:val="000000" w:themeColor="text1"/>
          <w:szCs w:val="24"/>
        </w:rPr>
        <w:t>Masters in Tourism and Recreation</w:t>
      </w:r>
    </w:p>
    <w:p w14:paraId="3C85E9B6" w14:textId="77777777" w:rsidR="00E616E8" w:rsidRPr="002F1C69" w:rsidRDefault="00E616E8" w:rsidP="00E616E8">
      <w:pPr>
        <w:spacing w:line="480" w:lineRule="auto"/>
        <w:jc w:val="center"/>
        <w:rPr>
          <w:rFonts w:ascii="Times New Roman" w:hAnsi="Times New Roman" w:cs="Times New Roman"/>
          <w:b/>
          <w:bCs/>
          <w:color w:val="000000" w:themeColor="text1"/>
          <w:szCs w:val="24"/>
        </w:rPr>
      </w:pPr>
      <w:proofErr w:type="spellStart"/>
      <w:r w:rsidRPr="002F1C69">
        <w:rPr>
          <w:rFonts w:ascii="Times New Roman" w:hAnsi="Times New Roman" w:cs="Times New Roman"/>
          <w:b/>
          <w:bCs/>
          <w:color w:val="000000" w:themeColor="text1"/>
          <w:szCs w:val="24"/>
        </w:rPr>
        <w:t>Opera&amp;ons</w:t>
      </w:r>
      <w:proofErr w:type="spellEnd"/>
      <w:r w:rsidRPr="002F1C69">
        <w:rPr>
          <w:rFonts w:ascii="Times New Roman" w:hAnsi="Times New Roman" w:cs="Times New Roman"/>
          <w:b/>
          <w:bCs/>
          <w:color w:val="000000" w:themeColor="text1"/>
          <w:szCs w:val="24"/>
        </w:rPr>
        <w:t xml:space="preserve"> Management in Hospitality </w:t>
      </w:r>
    </w:p>
    <w:p w14:paraId="7863CE78" w14:textId="77777777" w:rsidR="00E616E8" w:rsidRPr="002F1C69" w:rsidRDefault="00E616E8" w:rsidP="00E616E8">
      <w:pPr>
        <w:spacing w:line="480" w:lineRule="auto"/>
        <w:jc w:val="center"/>
        <w:rPr>
          <w:rFonts w:ascii="Times New Roman" w:hAnsi="Times New Roman" w:cs="Times New Roman"/>
          <w:b/>
          <w:bCs/>
          <w:color w:val="000000" w:themeColor="text1"/>
          <w:szCs w:val="24"/>
        </w:rPr>
      </w:pPr>
      <w:r w:rsidRPr="002F1C69">
        <w:rPr>
          <w:rFonts w:ascii="Times New Roman" w:hAnsi="Times New Roman" w:cs="Times New Roman"/>
          <w:b/>
          <w:bCs/>
          <w:color w:val="000000" w:themeColor="text1"/>
          <w:szCs w:val="24"/>
        </w:rPr>
        <w:t xml:space="preserve">Assignment 12 </w:t>
      </w:r>
    </w:p>
    <w:p w14:paraId="27F4CC41" w14:textId="77777777" w:rsidR="00E616E8" w:rsidRPr="002F1C69" w:rsidRDefault="00E616E8" w:rsidP="00E616E8">
      <w:pPr>
        <w:spacing w:line="480" w:lineRule="auto"/>
        <w:jc w:val="center"/>
        <w:rPr>
          <w:rFonts w:ascii="Times New Roman" w:hAnsi="Times New Roman" w:cs="Times New Roman"/>
          <w:b/>
          <w:bCs/>
          <w:color w:val="000000" w:themeColor="text1"/>
          <w:szCs w:val="24"/>
        </w:rPr>
      </w:pPr>
      <w:r w:rsidRPr="002F1C69">
        <w:rPr>
          <w:rFonts w:ascii="Times New Roman" w:hAnsi="Times New Roman" w:cs="Times New Roman"/>
          <w:b/>
          <w:bCs/>
          <w:color w:val="000000" w:themeColor="text1"/>
          <w:szCs w:val="24"/>
        </w:rPr>
        <w:t>04.02.2026</w:t>
      </w:r>
    </w:p>
    <w:p w14:paraId="754C9A6C" w14:textId="77777777" w:rsidR="00E616E8" w:rsidRPr="002F1C69" w:rsidRDefault="00E616E8" w:rsidP="00E616E8">
      <w:pPr>
        <w:rPr>
          <w:rFonts w:ascii="Times New Roman" w:hAnsi="Times New Roman" w:cs="Times New Roman"/>
          <w:szCs w:val="24"/>
        </w:rPr>
      </w:pPr>
    </w:p>
    <w:p w14:paraId="16CD2603" w14:textId="77777777" w:rsidR="00E616E8" w:rsidRPr="002F1C69" w:rsidRDefault="00E616E8" w:rsidP="00E616E8">
      <w:pPr>
        <w:rPr>
          <w:rFonts w:ascii="Times New Roman" w:hAnsi="Times New Roman" w:cs="Times New Roman"/>
          <w:szCs w:val="24"/>
        </w:rPr>
      </w:pPr>
    </w:p>
    <w:p w14:paraId="5737EF78" w14:textId="77777777" w:rsidR="00E616E8" w:rsidRPr="002F1C69" w:rsidRDefault="00E616E8" w:rsidP="00E616E8">
      <w:pPr>
        <w:rPr>
          <w:rFonts w:ascii="Times New Roman" w:hAnsi="Times New Roman" w:cs="Times New Roman"/>
          <w:szCs w:val="24"/>
        </w:rPr>
      </w:pPr>
    </w:p>
    <w:p w14:paraId="17EAB925" w14:textId="77777777" w:rsidR="00E616E8" w:rsidRPr="002F1C69" w:rsidRDefault="00E616E8" w:rsidP="00E616E8">
      <w:pPr>
        <w:rPr>
          <w:rFonts w:ascii="Times New Roman" w:hAnsi="Times New Roman" w:cs="Times New Roman"/>
          <w:szCs w:val="24"/>
        </w:rPr>
      </w:pPr>
    </w:p>
    <w:p w14:paraId="22CD7F29" w14:textId="77777777" w:rsidR="00E616E8" w:rsidRPr="002F1C69" w:rsidRDefault="00E616E8" w:rsidP="00E616E8">
      <w:pPr>
        <w:rPr>
          <w:rFonts w:ascii="Times New Roman" w:hAnsi="Times New Roman" w:cs="Times New Roman"/>
          <w:szCs w:val="24"/>
        </w:rPr>
      </w:pPr>
    </w:p>
    <w:p w14:paraId="06BF1B57" w14:textId="77777777" w:rsidR="00E616E8" w:rsidRPr="002F1C69" w:rsidRDefault="00E616E8">
      <w:pPr>
        <w:rPr>
          <w:rFonts w:ascii="Times New Roman" w:hAnsi="Times New Roman" w:cs="Times New Roman"/>
          <w:szCs w:val="24"/>
        </w:rPr>
      </w:pPr>
    </w:p>
    <w:p w14:paraId="109A9092" w14:textId="77777777" w:rsidR="002F1C69" w:rsidRPr="002F1C69" w:rsidRDefault="002F1C69">
      <w:pPr>
        <w:rPr>
          <w:rFonts w:ascii="Times New Roman" w:hAnsi="Times New Roman" w:cs="Times New Roman"/>
          <w:szCs w:val="24"/>
        </w:rPr>
      </w:pPr>
    </w:p>
    <w:p w14:paraId="2E30EF2E" w14:textId="77777777" w:rsidR="002F1C69" w:rsidRPr="002F1C69" w:rsidRDefault="002F1C69">
      <w:pPr>
        <w:rPr>
          <w:rFonts w:ascii="Times New Roman" w:hAnsi="Times New Roman" w:cs="Times New Roman"/>
          <w:szCs w:val="24"/>
        </w:rPr>
      </w:pPr>
    </w:p>
    <w:p w14:paraId="11390FC0" w14:textId="77777777" w:rsidR="002F1C69" w:rsidRPr="002F1C69" w:rsidRDefault="002F1C69">
      <w:pPr>
        <w:rPr>
          <w:rFonts w:ascii="Times New Roman" w:hAnsi="Times New Roman" w:cs="Times New Roman"/>
          <w:szCs w:val="24"/>
        </w:rPr>
      </w:pPr>
    </w:p>
    <w:p w14:paraId="76755054" w14:textId="77777777" w:rsidR="002F1C69" w:rsidRPr="002F1C69" w:rsidRDefault="002F1C69">
      <w:pPr>
        <w:rPr>
          <w:rFonts w:ascii="Times New Roman" w:hAnsi="Times New Roman" w:cs="Times New Roman"/>
          <w:szCs w:val="24"/>
        </w:rPr>
      </w:pPr>
    </w:p>
    <w:p w14:paraId="0B938D3C" w14:textId="77777777" w:rsidR="002F1C69" w:rsidRPr="002F1C69" w:rsidRDefault="002F1C69">
      <w:pPr>
        <w:rPr>
          <w:rFonts w:ascii="Times New Roman" w:hAnsi="Times New Roman" w:cs="Times New Roman"/>
          <w:szCs w:val="24"/>
        </w:rPr>
      </w:pPr>
    </w:p>
    <w:p w14:paraId="64E91D50" w14:textId="77777777" w:rsidR="002F1C69" w:rsidRPr="002F1C69" w:rsidRDefault="002F1C69">
      <w:pPr>
        <w:rPr>
          <w:rFonts w:ascii="Times New Roman" w:hAnsi="Times New Roman" w:cs="Times New Roman"/>
          <w:szCs w:val="24"/>
        </w:rPr>
      </w:pPr>
    </w:p>
    <w:p w14:paraId="1E976DFE" w14:textId="77777777" w:rsidR="002F1C69" w:rsidRPr="002F1C69" w:rsidRDefault="002F1C69">
      <w:pPr>
        <w:rPr>
          <w:rFonts w:ascii="Times New Roman" w:hAnsi="Times New Roman" w:cs="Times New Roman"/>
          <w:szCs w:val="24"/>
        </w:rPr>
      </w:pPr>
    </w:p>
    <w:p w14:paraId="2C4B3C7F" w14:textId="77777777" w:rsidR="002F1C69" w:rsidRPr="002F1C69" w:rsidRDefault="002F1C69">
      <w:pPr>
        <w:rPr>
          <w:rFonts w:ascii="Times New Roman" w:hAnsi="Times New Roman" w:cs="Times New Roman"/>
          <w:szCs w:val="24"/>
        </w:rPr>
      </w:pPr>
    </w:p>
    <w:p w14:paraId="458E5862" w14:textId="77777777" w:rsidR="002F1C69" w:rsidRPr="002F1C69" w:rsidRDefault="002F1C69">
      <w:pPr>
        <w:rPr>
          <w:rFonts w:ascii="Times New Roman" w:hAnsi="Times New Roman" w:cs="Times New Roman"/>
          <w:szCs w:val="24"/>
        </w:rPr>
      </w:pPr>
    </w:p>
    <w:p w14:paraId="66327D97" w14:textId="77777777" w:rsidR="002F1C69" w:rsidRPr="002F1C69" w:rsidRDefault="002F1C69">
      <w:pPr>
        <w:rPr>
          <w:rFonts w:ascii="Times New Roman" w:hAnsi="Times New Roman" w:cs="Times New Roman"/>
          <w:szCs w:val="24"/>
        </w:rPr>
      </w:pPr>
    </w:p>
    <w:p w14:paraId="0724667A" w14:textId="77777777" w:rsidR="002F1C69" w:rsidRPr="002F1C69" w:rsidRDefault="002F1C69">
      <w:pPr>
        <w:rPr>
          <w:rFonts w:ascii="Times New Roman" w:hAnsi="Times New Roman" w:cs="Times New Roman"/>
          <w:b/>
          <w:bCs/>
          <w:szCs w:val="24"/>
        </w:rPr>
      </w:pPr>
    </w:p>
    <w:p w14:paraId="3CD7CF98"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The use of Non-Pricing Revenue Management tools to assist Hotels maximize revenue while maintaining the same room rate.</w:t>
      </w:r>
    </w:p>
    <w:p w14:paraId="3E43C96B" w14:textId="77777777" w:rsidR="002F1C69" w:rsidRPr="002F1C69" w:rsidRDefault="002F1C69" w:rsidP="002F1C69">
      <w:pPr>
        <w:rPr>
          <w:rFonts w:ascii="Times New Roman" w:hAnsi="Times New Roman" w:cs="Times New Roman"/>
          <w:szCs w:val="24"/>
        </w:rPr>
      </w:pPr>
    </w:p>
    <w:p w14:paraId="4992E77C"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Hotels can use non-pricing revenue management systems to boost overall revenue without changing the price of the room by maximising demand, capacity usage, customer behaviour, and ancillary expenditure. Instead of changing the price, these tools emphasize when, to whom and how rooms and services are sold and are especially effective in a highly competitive or rate-sensitive market.</w:t>
      </w:r>
    </w:p>
    <w:p w14:paraId="23C7632E" w14:textId="77777777" w:rsidR="002F1C69" w:rsidRPr="002F1C69" w:rsidRDefault="002F1C69" w:rsidP="002F1C69">
      <w:pPr>
        <w:rPr>
          <w:rFonts w:ascii="Times New Roman" w:hAnsi="Times New Roman" w:cs="Times New Roman"/>
          <w:szCs w:val="24"/>
        </w:rPr>
      </w:pPr>
    </w:p>
    <w:p w14:paraId="33349B1A"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Length-of-stay (LOS) control is one of the most effective non-pricing tools. Hotels can restrict short low-value stays and optimise total revenue per available room (</w:t>
      </w:r>
      <w:proofErr w:type="spellStart"/>
      <w:r w:rsidRPr="002F1C69">
        <w:rPr>
          <w:rFonts w:ascii="Times New Roman" w:hAnsi="Times New Roman" w:cs="Times New Roman"/>
          <w:szCs w:val="24"/>
        </w:rPr>
        <w:t>TRevPAR</w:t>
      </w:r>
      <w:proofErr w:type="spellEnd"/>
      <w:r w:rsidRPr="002F1C69">
        <w:rPr>
          <w:rFonts w:ascii="Times New Roman" w:hAnsi="Times New Roman" w:cs="Times New Roman"/>
          <w:szCs w:val="24"/>
        </w:rPr>
        <w:t xml:space="preserve">) by instituting minimum or maximum stay requirements during high-demand times. LOS controls contribute to the </w:t>
      </w:r>
      <w:proofErr w:type="spellStart"/>
      <w:r w:rsidRPr="002F1C69">
        <w:rPr>
          <w:rFonts w:ascii="Times New Roman" w:hAnsi="Times New Roman" w:cs="Times New Roman"/>
          <w:szCs w:val="24"/>
        </w:rPr>
        <w:t>leveling</w:t>
      </w:r>
      <w:proofErr w:type="spellEnd"/>
      <w:r w:rsidRPr="002F1C69">
        <w:rPr>
          <w:rFonts w:ascii="Times New Roman" w:hAnsi="Times New Roman" w:cs="Times New Roman"/>
          <w:szCs w:val="24"/>
        </w:rPr>
        <w:t xml:space="preserve"> of demand during peak or shoulder times and it also minimizes operational inefficiencies including the frequent change of rooms (Talluri and Van Ryzin, 2004).</w:t>
      </w:r>
    </w:p>
    <w:p w14:paraId="042F018D" w14:textId="77777777" w:rsidR="002F1C69" w:rsidRPr="002F1C69" w:rsidRDefault="002F1C69" w:rsidP="002F1C69">
      <w:pPr>
        <w:rPr>
          <w:rFonts w:ascii="Times New Roman" w:hAnsi="Times New Roman" w:cs="Times New Roman"/>
          <w:szCs w:val="24"/>
        </w:rPr>
      </w:pPr>
    </w:p>
    <w:p w14:paraId="1A5B2E2E"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Room type optimisation and inventory control are also essential. Hotels plan limited room inventory, by market segments (business, leisure, group, OTA, or direct bookings) strategically around likely profitability instead of price. An example would be to shut down the low-value distribution channels when the demand is high so that high-yield customers are available, without raising rates (Kimes, 2011).</w:t>
      </w:r>
    </w:p>
    <w:p w14:paraId="370757C7" w14:textId="77777777" w:rsidR="002F1C69" w:rsidRPr="002F1C69" w:rsidRDefault="002F1C69" w:rsidP="002F1C69">
      <w:pPr>
        <w:rPr>
          <w:rFonts w:ascii="Times New Roman" w:hAnsi="Times New Roman" w:cs="Times New Roman"/>
          <w:szCs w:val="24"/>
        </w:rPr>
      </w:pPr>
    </w:p>
    <w:p w14:paraId="2FBF488F"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Overbooking management is another important non-pricing tool. Since cancellations and no-shows are frequent in hospitality, controlled overbooking enables hotels to stay busier but at the same time, handling the risk of displacement of guests. Overbooking in the application in the framework of historical data and forecasting models leads to a large increase in realised revenue without influencing published prices (Ivanov, 2007).</w:t>
      </w:r>
    </w:p>
    <w:p w14:paraId="584F5291" w14:textId="77777777" w:rsidR="002F1C69" w:rsidRPr="002F1C69" w:rsidRDefault="002F1C69" w:rsidP="002F1C69">
      <w:pPr>
        <w:rPr>
          <w:rFonts w:ascii="Times New Roman" w:hAnsi="Times New Roman" w:cs="Times New Roman"/>
          <w:szCs w:val="24"/>
        </w:rPr>
      </w:pPr>
    </w:p>
    <w:p w14:paraId="761F5C7D"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Ancillary revenue optimisation also helps hotels to maximise revenue, which is achieved by promoting upgrades, food and beverages, spa services, parking and late check-outs. Digital pre-arrival communication and front-desk techniques can be targeted at upselling and cross-selling, with significant improvements in total guest spend, without needing to adjust room rates (Noone and McGuire, 2013).</w:t>
      </w:r>
    </w:p>
    <w:p w14:paraId="2C2C231E" w14:textId="77777777" w:rsidR="002F1C69" w:rsidRPr="002F1C69" w:rsidRDefault="002F1C69" w:rsidP="002F1C69">
      <w:pPr>
        <w:rPr>
          <w:rFonts w:ascii="Times New Roman" w:hAnsi="Times New Roman" w:cs="Times New Roman"/>
          <w:szCs w:val="24"/>
        </w:rPr>
      </w:pPr>
    </w:p>
    <w:p w14:paraId="344C0B8B"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 xml:space="preserve">Lastly, the use of customer segmentation and demand forecasting is grounded. Through booking patterns, lead times, and customer behaviour, the hotels will be able to adjust availability rules, marketing offers, and service bundles to </w:t>
      </w:r>
      <w:proofErr w:type="gramStart"/>
      <w:r w:rsidRPr="002F1C69">
        <w:rPr>
          <w:rFonts w:ascii="Times New Roman" w:hAnsi="Times New Roman" w:cs="Times New Roman"/>
          <w:szCs w:val="24"/>
        </w:rPr>
        <w:t>particular segments</w:t>
      </w:r>
      <w:proofErr w:type="gramEnd"/>
      <w:r w:rsidRPr="002F1C69">
        <w:rPr>
          <w:rFonts w:ascii="Times New Roman" w:hAnsi="Times New Roman" w:cs="Times New Roman"/>
          <w:szCs w:val="24"/>
        </w:rPr>
        <w:t>. It is more effective in capturing demand and overall revenue performances without depending on price adjustments (Cross, Higbie, and Cross, 2009).</w:t>
      </w:r>
    </w:p>
    <w:p w14:paraId="64639E93" w14:textId="77777777" w:rsidR="002F1C69" w:rsidRPr="002F1C69" w:rsidRDefault="002F1C69" w:rsidP="002F1C69">
      <w:pPr>
        <w:rPr>
          <w:rFonts w:ascii="Times New Roman" w:hAnsi="Times New Roman" w:cs="Times New Roman"/>
          <w:szCs w:val="24"/>
        </w:rPr>
      </w:pPr>
    </w:p>
    <w:p w14:paraId="257952CC" w14:textId="5CC74764"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Overall, the non-pricing revenue management tools enable hotels to optimise revenue through better capacity utilisation, demand timing, customer mix, and ancillary spending. The strategies are especially useful where price growth is limited by price competition, branding, or sensitivity of customers and are common elements of contemporary hotel revenue management.</w:t>
      </w:r>
    </w:p>
    <w:p w14:paraId="46AF5E46" w14:textId="77777777" w:rsidR="002F1C69" w:rsidRPr="002F1C69" w:rsidRDefault="002F1C69">
      <w:pPr>
        <w:rPr>
          <w:rFonts w:ascii="Times New Roman" w:hAnsi="Times New Roman" w:cs="Times New Roman"/>
          <w:szCs w:val="24"/>
        </w:rPr>
      </w:pPr>
    </w:p>
    <w:p w14:paraId="0250A03A" w14:textId="77777777" w:rsidR="002F1C69" w:rsidRPr="002F1C69" w:rsidRDefault="002F1C69">
      <w:pPr>
        <w:rPr>
          <w:rFonts w:ascii="Times New Roman" w:hAnsi="Times New Roman" w:cs="Times New Roman"/>
          <w:szCs w:val="24"/>
        </w:rPr>
      </w:pPr>
    </w:p>
    <w:p w14:paraId="56497F3D" w14:textId="77777777" w:rsidR="002F1C69" w:rsidRPr="002F1C69" w:rsidRDefault="002F1C69">
      <w:pPr>
        <w:rPr>
          <w:rFonts w:ascii="Times New Roman" w:hAnsi="Times New Roman" w:cs="Times New Roman"/>
          <w:szCs w:val="24"/>
        </w:rPr>
      </w:pPr>
    </w:p>
    <w:p w14:paraId="6A9D3F1E" w14:textId="77777777" w:rsidR="002F1C69" w:rsidRPr="002F1C69" w:rsidRDefault="002F1C69" w:rsidP="002F1C69">
      <w:pPr>
        <w:rPr>
          <w:rFonts w:ascii="Times New Roman" w:hAnsi="Times New Roman" w:cs="Times New Roman"/>
          <w:szCs w:val="24"/>
        </w:rPr>
      </w:pPr>
      <w:r w:rsidRPr="002F1C69">
        <w:rPr>
          <w:rFonts w:ascii="Times New Roman" w:hAnsi="Times New Roman" w:cs="Times New Roman"/>
          <w:szCs w:val="24"/>
        </w:rPr>
        <w:t xml:space="preserve">References </w:t>
      </w:r>
    </w:p>
    <w:p w14:paraId="2D8B45EE" w14:textId="77777777" w:rsidR="002F1C69" w:rsidRPr="002F1C69" w:rsidRDefault="002F1C69" w:rsidP="002F1C69">
      <w:pPr>
        <w:rPr>
          <w:rFonts w:ascii="Times New Roman" w:hAnsi="Times New Roman" w:cs="Times New Roman"/>
          <w:szCs w:val="24"/>
        </w:rPr>
      </w:pPr>
    </w:p>
    <w:p w14:paraId="530681BE"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Cross, R. G., Higbie, J. A., &amp; Cross, Z. N. (2009). Revenue management’s renaissance: A rebirth of the art and science of profitable revenue generation. Cornell Hospitality Quarterly, 50(1), 56–81. https://doi.org/10.1177/1938965508328716</w:t>
      </w:r>
    </w:p>
    <w:p w14:paraId="3BAC3E66"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Ivanov, S. (2007). Optimal overbooking policies for accommodation establishments. Tourism Economics, 13(1), 67–88. https://doi.org/10.5367/000000007779784498</w:t>
      </w:r>
    </w:p>
    <w:p w14:paraId="59E2A9DE"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Kimes, S. E. (2011). The future of hotel revenue management. Journal of Revenue and Pricing Management, 10(1), 62–72. https://doi.org/10.1057/rpm.2010.47</w:t>
      </w:r>
    </w:p>
    <w:p w14:paraId="679B892E"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Noone, B. M., &amp; McGuire, K. A. (2013). Pricing in hotel revenue management: A behavioural perspective. International Journal of Hospitality Management, 34, 387–397. https://doi.org/10.1016/j.ijhm.2012.11.008</w:t>
      </w:r>
    </w:p>
    <w:p w14:paraId="54EA9A41" w14:textId="77777777" w:rsidR="002F1C69" w:rsidRPr="002F1C69" w:rsidRDefault="002F1C69" w:rsidP="002F1C69">
      <w:pPr>
        <w:rPr>
          <w:rFonts w:ascii="Times New Roman" w:hAnsi="Times New Roman" w:cs="Times New Roman"/>
          <w:b/>
          <w:bCs/>
          <w:szCs w:val="24"/>
        </w:rPr>
      </w:pPr>
      <w:r w:rsidRPr="002F1C69">
        <w:rPr>
          <w:rFonts w:ascii="Times New Roman" w:hAnsi="Times New Roman" w:cs="Times New Roman"/>
          <w:b/>
          <w:bCs/>
          <w:szCs w:val="24"/>
        </w:rPr>
        <w:t>Talluri, K. T., &amp; Van Ryzin, G. J. (2004). The theory and practice of revenue management. Manufacturing &amp; Service Operations Management, 6(3), 262–264. https://doi.org/10.1287/msom.1040.0056</w:t>
      </w:r>
    </w:p>
    <w:p w14:paraId="7C29CCA8" w14:textId="77777777" w:rsidR="002F1C69" w:rsidRPr="002F1C69" w:rsidRDefault="002F1C69">
      <w:pPr>
        <w:rPr>
          <w:rFonts w:ascii="Times New Roman" w:hAnsi="Times New Roman" w:cs="Times New Roman"/>
          <w:szCs w:val="24"/>
        </w:rPr>
      </w:pPr>
    </w:p>
    <w:sectPr w:rsidR="002F1C69" w:rsidRPr="002F1C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E8"/>
    <w:rsid w:val="002F1C69"/>
    <w:rsid w:val="00CB2166"/>
    <w:rsid w:val="00E616E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C2D9"/>
  <w15:chartTrackingRefBased/>
  <w15:docId w15:val="{7ADA55A5-C360-4758-9D16-E3E7AD54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6E8"/>
  </w:style>
  <w:style w:type="paragraph" w:styleId="Heading1">
    <w:name w:val="heading 1"/>
    <w:basedOn w:val="Normal"/>
    <w:next w:val="Normal"/>
    <w:link w:val="Heading1Char"/>
    <w:uiPriority w:val="9"/>
    <w:qFormat/>
    <w:rsid w:val="00E616E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616E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616E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61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6E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616E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616E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61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6E8"/>
    <w:rPr>
      <w:rFonts w:eastAsiaTheme="majorEastAsia" w:cstheme="majorBidi"/>
      <w:color w:val="272727" w:themeColor="text1" w:themeTint="D8"/>
    </w:rPr>
  </w:style>
  <w:style w:type="paragraph" w:styleId="Title">
    <w:name w:val="Title"/>
    <w:basedOn w:val="Normal"/>
    <w:next w:val="Normal"/>
    <w:link w:val="TitleChar"/>
    <w:uiPriority w:val="10"/>
    <w:qFormat/>
    <w:rsid w:val="00E616E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616E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616E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616E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616E8"/>
    <w:pPr>
      <w:spacing w:before="160"/>
      <w:jc w:val="center"/>
    </w:pPr>
    <w:rPr>
      <w:i/>
      <w:iCs/>
      <w:color w:val="404040" w:themeColor="text1" w:themeTint="BF"/>
    </w:rPr>
  </w:style>
  <w:style w:type="character" w:customStyle="1" w:styleId="QuoteChar">
    <w:name w:val="Quote Char"/>
    <w:basedOn w:val="DefaultParagraphFont"/>
    <w:link w:val="Quote"/>
    <w:uiPriority w:val="29"/>
    <w:rsid w:val="00E616E8"/>
    <w:rPr>
      <w:i/>
      <w:iCs/>
      <w:color w:val="404040" w:themeColor="text1" w:themeTint="BF"/>
    </w:rPr>
  </w:style>
  <w:style w:type="paragraph" w:styleId="ListParagraph">
    <w:name w:val="List Paragraph"/>
    <w:basedOn w:val="Normal"/>
    <w:uiPriority w:val="34"/>
    <w:qFormat/>
    <w:rsid w:val="00E616E8"/>
    <w:pPr>
      <w:ind w:left="720"/>
      <w:contextualSpacing/>
    </w:pPr>
  </w:style>
  <w:style w:type="character" w:styleId="IntenseEmphasis">
    <w:name w:val="Intense Emphasis"/>
    <w:basedOn w:val="DefaultParagraphFont"/>
    <w:uiPriority w:val="21"/>
    <w:qFormat/>
    <w:rsid w:val="00E616E8"/>
    <w:rPr>
      <w:i/>
      <w:iCs/>
      <w:color w:val="0F4761" w:themeColor="accent1" w:themeShade="BF"/>
    </w:rPr>
  </w:style>
  <w:style w:type="paragraph" w:styleId="IntenseQuote">
    <w:name w:val="Intense Quote"/>
    <w:basedOn w:val="Normal"/>
    <w:next w:val="Normal"/>
    <w:link w:val="IntenseQuoteChar"/>
    <w:uiPriority w:val="30"/>
    <w:qFormat/>
    <w:rsid w:val="00E61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6E8"/>
    <w:rPr>
      <w:i/>
      <w:iCs/>
      <w:color w:val="0F4761" w:themeColor="accent1" w:themeShade="BF"/>
    </w:rPr>
  </w:style>
  <w:style w:type="character" w:styleId="IntenseReference">
    <w:name w:val="Intense Reference"/>
    <w:basedOn w:val="DefaultParagraphFont"/>
    <w:uiPriority w:val="32"/>
    <w:qFormat/>
    <w:rsid w:val="00E616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2026-02-08T10:23:00Z</dcterms:modified>
</cp:coreProperties>
</file>