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FD4D01" w:rsidRDefault="000437FE" w:rsidP="00013DBD">
      <w:pPr>
        <w:spacing w:line="480" w:lineRule="auto"/>
        <w:rPr>
          <w:rFonts w:ascii="Calibri" w:hAnsi="Calibri" w:cs="Calibri"/>
          <w:szCs w:val="24"/>
          <w:lang w:val="en-US"/>
        </w:rPr>
      </w:pPr>
      <w:r w:rsidRPr="00FD4D01">
        <w:rPr>
          <w:rFonts w:ascii="Calibri" w:hAnsi="Calibri" w:cs="Calibri"/>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FD4D01" w:rsidRDefault="00D33052" w:rsidP="00013DBD">
      <w:pPr>
        <w:spacing w:line="480" w:lineRule="auto"/>
        <w:rPr>
          <w:rFonts w:ascii="Calibri" w:hAnsi="Calibri" w:cs="Calibri"/>
          <w:szCs w:val="24"/>
          <w:lang w:val="en-US"/>
        </w:rPr>
      </w:pPr>
    </w:p>
    <w:p w14:paraId="0C7555A9" w14:textId="77777777" w:rsidR="004A1F6F" w:rsidRPr="00FD4D01" w:rsidRDefault="004A1F6F" w:rsidP="00D8310C">
      <w:pPr>
        <w:spacing w:line="480" w:lineRule="auto"/>
        <w:rPr>
          <w:rFonts w:ascii="Calibri" w:hAnsi="Calibri" w:cs="Calibri"/>
          <w:szCs w:val="24"/>
        </w:rPr>
      </w:pPr>
    </w:p>
    <w:p w14:paraId="3E48C347" w14:textId="77777777" w:rsidR="00F72ED2" w:rsidRPr="00FD4D01" w:rsidRDefault="00F72ED2" w:rsidP="00013DBD">
      <w:pPr>
        <w:spacing w:line="480" w:lineRule="auto"/>
        <w:jc w:val="center"/>
        <w:rPr>
          <w:rFonts w:ascii="Calibri" w:hAnsi="Calibri" w:cs="Calibri"/>
          <w:b/>
          <w:bCs/>
          <w:szCs w:val="24"/>
        </w:rPr>
      </w:pPr>
      <w:proofErr w:type="gramStart"/>
      <w:r w:rsidRPr="00FD4D01">
        <w:rPr>
          <w:rFonts w:ascii="Calibri" w:hAnsi="Calibri" w:cs="Calibri"/>
          <w:b/>
          <w:bCs/>
          <w:szCs w:val="24"/>
        </w:rPr>
        <w:t>Bachelor's</w:t>
      </w:r>
      <w:proofErr w:type="gramEnd"/>
      <w:r w:rsidRPr="00FD4D01">
        <w:rPr>
          <w:rFonts w:ascii="Calibri" w:hAnsi="Calibri" w:cs="Calibri"/>
          <w:b/>
          <w:bCs/>
          <w:szCs w:val="24"/>
        </w:rPr>
        <w:t xml:space="preserve"> in Tourism and Recreation</w:t>
      </w:r>
    </w:p>
    <w:p w14:paraId="2BA9879A" w14:textId="77777777" w:rsidR="0023731E" w:rsidRPr="0023731E" w:rsidRDefault="0023731E" w:rsidP="0023731E">
      <w:pPr>
        <w:spacing w:line="480" w:lineRule="auto"/>
        <w:jc w:val="center"/>
        <w:rPr>
          <w:rFonts w:ascii="Calibri" w:hAnsi="Calibri" w:cs="Calibri"/>
          <w:b/>
          <w:bCs/>
          <w:szCs w:val="24"/>
        </w:rPr>
      </w:pPr>
      <w:r w:rsidRPr="0023731E">
        <w:rPr>
          <w:rFonts w:ascii="Calibri" w:hAnsi="Calibri" w:cs="Calibri"/>
          <w:b/>
          <w:bCs/>
          <w:szCs w:val="24"/>
        </w:rPr>
        <w:t>Tourism Law</w:t>
      </w:r>
    </w:p>
    <w:p w14:paraId="3E633815"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Assignment 2: Consumer Protection Laws in the Tourism Industry</w:t>
      </w:r>
    </w:p>
    <w:p w14:paraId="7F6B52F8"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Assignment Guidelines:</w:t>
      </w:r>
    </w:p>
    <w:p w14:paraId="535AF006"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 Examine the role of consumer protection laws in the tourism industry, with a</w:t>
      </w:r>
    </w:p>
    <w:p w14:paraId="62B700CD"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focus on travelers' rights and obligations.</w:t>
      </w:r>
    </w:p>
    <w:p w14:paraId="21A6A485"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 Discuss key consumer protection legislation, such as the Package Travel</w:t>
      </w:r>
    </w:p>
    <w:p w14:paraId="11025950"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Directive and other relevant regulations in different jurisdictions.</w:t>
      </w:r>
    </w:p>
    <w:p w14:paraId="2229011F"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 Analyze how these laws safeguard travelers from unfair practices, misleading</w:t>
      </w:r>
    </w:p>
    <w:p w14:paraId="1A1CB870"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advertising, and unsafe products or services.</w:t>
      </w:r>
    </w:p>
    <w:p w14:paraId="5ADC60AD"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 Evaluate the responsibilities of tourism service providers in ensuring compliance</w:t>
      </w:r>
    </w:p>
    <w:p w14:paraId="5375AB55"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with consumer protection laws.</w:t>
      </w:r>
    </w:p>
    <w:p w14:paraId="643AB797" w14:textId="77777777" w:rsidR="006826F9" w:rsidRPr="006826F9" w:rsidRDefault="006826F9" w:rsidP="006826F9">
      <w:pPr>
        <w:spacing w:line="480" w:lineRule="auto"/>
        <w:rPr>
          <w:rFonts w:ascii="Calibri" w:hAnsi="Calibri" w:cs="Calibri"/>
          <w:szCs w:val="24"/>
          <w:lang w:val="en-US"/>
        </w:rPr>
      </w:pPr>
      <w:r w:rsidRPr="006826F9">
        <w:rPr>
          <w:rFonts w:ascii="Calibri" w:hAnsi="Calibri" w:cs="Calibri"/>
          <w:szCs w:val="24"/>
          <w:lang w:val="en-US"/>
        </w:rPr>
        <w:t xml:space="preserve">• Provide case studies of consumer disputes in tourism and how </w:t>
      </w:r>
      <w:proofErr w:type="gramStart"/>
      <w:r w:rsidRPr="006826F9">
        <w:rPr>
          <w:rFonts w:ascii="Calibri" w:hAnsi="Calibri" w:cs="Calibri"/>
          <w:szCs w:val="24"/>
          <w:lang w:val="en-US"/>
        </w:rPr>
        <w:t>the legal</w:t>
      </w:r>
      <w:proofErr w:type="gramEnd"/>
    </w:p>
    <w:p w14:paraId="2491E09E" w14:textId="7C45D0E2" w:rsidR="000F369F" w:rsidRPr="00FD4D01" w:rsidRDefault="006826F9" w:rsidP="005B0192">
      <w:pPr>
        <w:spacing w:line="480" w:lineRule="auto"/>
        <w:rPr>
          <w:rFonts w:ascii="Calibri" w:hAnsi="Calibri" w:cs="Calibri"/>
          <w:szCs w:val="24"/>
          <w:lang w:val="en-US"/>
        </w:rPr>
      </w:pPr>
      <w:r w:rsidRPr="006826F9">
        <w:rPr>
          <w:rFonts w:ascii="Calibri" w:hAnsi="Calibri" w:cs="Calibri"/>
          <w:szCs w:val="24"/>
          <w:lang w:val="en-US"/>
        </w:rPr>
        <w:t>framework was applied to resolve them</w:t>
      </w:r>
    </w:p>
    <w:p w14:paraId="25BE1823" w14:textId="307F7400" w:rsidR="00EA7FD8" w:rsidRPr="00FD4D01" w:rsidRDefault="00D33052" w:rsidP="005B0192">
      <w:pPr>
        <w:spacing w:line="480" w:lineRule="auto"/>
        <w:rPr>
          <w:rFonts w:ascii="Calibri" w:hAnsi="Calibri" w:cs="Calibri"/>
          <w:szCs w:val="24"/>
        </w:rPr>
      </w:pPr>
      <w:bookmarkStart w:id="0" w:name="_Toc221201954"/>
      <w:r w:rsidRPr="00FD4D01">
        <w:rPr>
          <w:rStyle w:val="Heading1Char"/>
          <w:rFonts w:ascii="Calibri" w:hAnsi="Calibri" w:cs="Calibri"/>
          <w:b/>
          <w:bCs/>
          <w:color w:val="auto"/>
          <w:sz w:val="24"/>
          <w:szCs w:val="24"/>
        </w:rPr>
        <w:lastRenderedPageBreak/>
        <w:t>Abstract</w:t>
      </w:r>
      <w:bookmarkEnd w:id="0"/>
    </w:p>
    <w:p w14:paraId="33D266FB" w14:textId="45187305" w:rsidR="000F369F" w:rsidRPr="00EA7FD8" w:rsidRDefault="006826F9" w:rsidP="00EA7FD8">
      <w:pPr>
        <w:spacing w:line="480" w:lineRule="auto"/>
        <w:rPr>
          <w:rFonts w:ascii="Calibri" w:eastAsiaTheme="majorEastAsia" w:hAnsi="Calibri" w:cs="Calibri"/>
          <w:kern w:val="0"/>
          <w:szCs w:val="24"/>
          <w:lang w:bidi="ar-SA"/>
          <w14:ligatures w14:val="none"/>
        </w:rPr>
      </w:pPr>
      <w:r w:rsidRPr="006826F9">
        <w:rPr>
          <w:rFonts w:ascii="Calibri" w:eastAsiaTheme="majorEastAsia" w:hAnsi="Calibri" w:cs="Calibri"/>
          <w:kern w:val="0"/>
          <w:szCs w:val="24"/>
          <w:lang w:bidi="ar-SA"/>
          <w14:ligatures w14:val="none"/>
        </w:rPr>
        <w:t xml:space="preserve">Consumer protection laws have gained more importance in the tourism industry because of the nature of tourism business i.e. reliance on advance booking, cross-border transaction, etc. on information. Tourists often buy services such as accommodation, transportation and package holidays before they consume them by relying heavily on promotional material and digital platforms. The existence of this structural dependency places consumers at a risk of misleading advertising, unfair contract terms, and unplanned cancellation, together with poor safety norms. As a result, consumer protection laws are of crucial importance in addressing the imbalance in power distribution between providers of tourism services and the </w:t>
      </w:r>
      <w:proofErr w:type="spellStart"/>
      <w:proofErr w:type="gramStart"/>
      <w:r w:rsidRPr="006826F9">
        <w:rPr>
          <w:rFonts w:ascii="Calibri" w:eastAsiaTheme="majorEastAsia" w:hAnsi="Calibri" w:cs="Calibri"/>
          <w:kern w:val="0"/>
          <w:szCs w:val="24"/>
          <w:lang w:bidi="ar-SA"/>
          <w14:ligatures w14:val="none"/>
        </w:rPr>
        <w:t>travelers</w:t>
      </w:r>
      <w:proofErr w:type="spellEnd"/>
      <w:proofErr w:type="gramEnd"/>
      <w:r w:rsidRPr="006826F9">
        <w:rPr>
          <w:rFonts w:ascii="Calibri" w:eastAsiaTheme="majorEastAsia" w:hAnsi="Calibri" w:cs="Calibri"/>
          <w:kern w:val="0"/>
          <w:szCs w:val="24"/>
          <w:lang w:bidi="ar-SA"/>
          <w14:ligatures w14:val="none"/>
        </w:rPr>
        <w:t xml:space="preserve"> consumer protection laws </w:t>
      </w:r>
      <w:proofErr w:type="gramStart"/>
      <w:r w:rsidRPr="006826F9">
        <w:rPr>
          <w:rFonts w:ascii="Calibri" w:eastAsiaTheme="majorEastAsia" w:hAnsi="Calibri" w:cs="Calibri"/>
          <w:kern w:val="0"/>
          <w:szCs w:val="24"/>
          <w:lang w:bidi="ar-SA"/>
          <w14:ligatures w14:val="none"/>
        </w:rPr>
        <w:t>plays</w:t>
      </w:r>
      <w:proofErr w:type="gramEnd"/>
      <w:r w:rsidRPr="006826F9">
        <w:rPr>
          <w:rFonts w:ascii="Calibri" w:eastAsiaTheme="majorEastAsia" w:hAnsi="Calibri" w:cs="Calibri"/>
          <w:kern w:val="0"/>
          <w:szCs w:val="24"/>
          <w:lang w:bidi="ar-SA"/>
          <w14:ligatures w14:val="none"/>
        </w:rPr>
        <w:t xml:space="preserve"> a key role in regulating the tourism markets with a specific focus on protecting the rights of the </w:t>
      </w:r>
      <w:proofErr w:type="spellStart"/>
      <w:r w:rsidRPr="006826F9">
        <w:rPr>
          <w:rFonts w:ascii="Calibri" w:eastAsiaTheme="majorEastAsia" w:hAnsi="Calibri" w:cs="Calibri"/>
          <w:kern w:val="0"/>
          <w:szCs w:val="24"/>
          <w:lang w:bidi="ar-SA"/>
          <w14:ligatures w14:val="none"/>
        </w:rPr>
        <w:t>travelers</w:t>
      </w:r>
      <w:proofErr w:type="spellEnd"/>
      <w:r w:rsidRPr="006826F9">
        <w:rPr>
          <w:rFonts w:ascii="Calibri" w:eastAsiaTheme="majorEastAsia" w:hAnsi="Calibri" w:cs="Calibri"/>
          <w:kern w:val="0"/>
          <w:szCs w:val="24"/>
          <w:lang w:bidi="ar-SA"/>
          <w14:ligatures w14:val="none"/>
        </w:rPr>
        <w:t xml:space="preserve"> and defining the obligations of the tourism business. It examines the extent to which legal frameworks governing pricing transparency, unfair commercial practices, package travel and service safety operate to reduce consumer vulnerability. </w:t>
      </w:r>
      <w:proofErr w:type="gramStart"/>
      <w:r w:rsidRPr="006826F9">
        <w:rPr>
          <w:rFonts w:ascii="Calibri" w:eastAsiaTheme="majorEastAsia" w:hAnsi="Calibri" w:cs="Calibri"/>
          <w:kern w:val="0"/>
          <w:szCs w:val="24"/>
          <w:lang w:bidi="ar-SA"/>
          <w14:ligatures w14:val="none"/>
        </w:rPr>
        <w:t>Particular attention</w:t>
      </w:r>
      <w:proofErr w:type="gramEnd"/>
      <w:r w:rsidRPr="006826F9">
        <w:rPr>
          <w:rFonts w:ascii="Calibri" w:eastAsiaTheme="majorEastAsia" w:hAnsi="Calibri" w:cs="Calibri"/>
          <w:kern w:val="0"/>
          <w:szCs w:val="24"/>
          <w:lang w:bidi="ar-SA"/>
          <w14:ligatures w14:val="none"/>
        </w:rPr>
        <w:t xml:space="preserve"> is paid to the role of digitalisation in tourism transactions, with online booking platforms and algorithm-based pricing models having changed the way in which tourism services are marketed and sold. The research also examines the effectiveness of consumers' redress mechanisms in guaranteeing that legal protections are applied in practice, for example through refunds, compensation and alternative dispute resolution systems. The assignment shows that consumer protection laws are not only reactive devices in resolving disputes but at the same time preventative devices in influencing ethical business behaviour by discussing the academic literature, regulatory devices and policy guidance. The analysis highlights that the future sustainability of the tourism industry, market transparency and </w:t>
      </w:r>
      <w:r w:rsidRPr="006826F9">
        <w:rPr>
          <w:rFonts w:ascii="Calibri" w:eastAsiaTheme="majorEastAsia" w:hAnsi="Calibri" w:cs="Calibri"/>
          <w:kern w:val="0"/>
          <w:szCs w:val="24"/>
          <w:lang w:bidi="ar-SA"/>
          <w14:ligatures w14:val="none"/>
        </w:rPr>
        <w:lastRenderedPageBreak/>
        <w:t>traveller confidence are therefore all positively affected by strong consumer protection frameworks. In summary, the study highlights the importance of continuously adapting legislation on consumer protection to address the emerging challenges in the global and digital tourism markets.</w:t>
      </w:r>
    </w:p>
    <w:sdt>
      <w:sdtPr>
        <w:rPr>
          <w:rFonts w:ascii="Calibri" w:hAnsi="Calibri" w:cs="Calibri"/>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FD4D01" w:rsidRDefault="004D7D13" w:rsidP="00EA7FD8">
          <w:pPr>
            <w:pStyle w:val="TOCHeading"/>
            <w:spacing w:line="480" w:lineRule="auto"/>
            <w:rPr>
              <w:rFonts w:ascii="Calibri" w:hAnsi="Calibri" w:cs="Calibri"/>
              <w:color w:val="auto"/>
              <w:sz w:val="24"/>
              <w:szCs w:val="24"/>
            </w:rPr>
          </w:pPr>
          <w:r w:rsidRPr="00FD4D01">
            <w:rPr>
              <w:rFonts w:ascii="Calibri" w:hAnsi="Calibri" w:cs="Calibri"/>
              <w:color w:val="auto"/>
              <w:sz w:val="24"/>
              <w:szCs w:val="24"/>
            </w:rPr>
            <w:t>Contents</w:t>
          </w:r>
        </w:p>
        <w:p w14:paraId="7191005F" w14:textId="2E0B9E02" w:rsidR="000437FE" w:rsidRPr="00FD4D01" w:rsidRDefault="004D7D13">
          <w:pPr>
            <w:pStyle w:val="TOC1"/>
            <w:tabs>
              <w:tab w:val="right" w:leader="dot" w:pos="9350"/>
            </w:tabs>
            <w:rPr>
              <w:rFonts w:ascii="Calibri" w:hAnsi="Calibri" w:cs="Calibri"/>
              <w:noProof/>
              <w:kern w:val="2"/>
              <w:sz w:val="24"/>
              <w:szCs w:val="24"/>
              <w:lang w:val="en-GB" w:eastAsia="en-GB" w:bidi="hi-IN"/>
              <w14:ligatures w14:val="standardContextual"/>
            </w:rPr>
          </w:pPr>
          <w:r w:rsidRPr="00FD4D01">
            <w:rPr>
              <w:rFonts w:ascii="Calibri" w:hAnsi="Calibri" w:cs="Calibri"/>
              <w:sz w:val="24"/>
              <w:szCs w:val="24"/>
            </w:rPr>
            <w:fldChar w:fldCharType="begin"/>
          </w:r>
          <w:r w:rsidRPr="00FD4D01">
            <w:rPr>
              <w:rFonts w:ascii="Calibri" w:hAnsi="Calibri" w:cs="Calibri"/>
              <w:sz w:val="24"/>
              <w:szCs w:val="24"/>
            </w:rPr>
            <w:instrText xml:space="preserve"> TOC \o "1-3" \h \z \u </w:instrText>
          </w:r>
          <w:r w:rsidRPr="00FD4D01">
            <w:rPr>
              <w:rFonts w:ascii="Calibri" w:hAnsi="Calibri" w:cs="Calibri"/>
              <w:sz w:val="24"/>
              <w:szCs w:val="24"/>
            </w:rPr>
            <w:fldChar w:fldCharType="separate"/>
          </w:r>
          <w:hyperlink w:anchor="_Toc221201954" w:history="1">
            <w:r w:rsidR="000437FE" w:rsidRPr="00FD4D01">
              <w:rPr>
                <w:rStyle w:val="Hyperlink"/>
                <w:rFonts w:ascii="Calibri" w:hAnsi="Calibri" w:cs="Calibri"/>
                <w:noProof/>
                <w:color w:val="auto"/>
                <w:sz w:val="24"/>
                <w:szCs w:val="24"/>
              </w:rPr>
              <w:t>Abstract</w:t>
            </w:r>
            <w:r w:rsidR="000437FE" w:rsidRPr="00FD4D01">
              <w:rPr>
                <w:rFonts w:ascii="Calibri" w:hAnsi="Calibri" w:cs="Calibri"/>
                <w:noProof/>
                <w:webHidden/>
                <w:sz w:val="24"/>
                <w:szCs w:val="24"/>
              </w:rPr>
              <w:tab/>
            </w:r>
            <w:r w:rsidR="000437FE" w:rsidRPr="00FD4D01">
              <w:rPr>
                <w:rFonts w:ascii="Calibri" w:hAnsi="Calibri" w:cs="Calibri"/>
                <w:noProof/>
                <w:webHidden/>
                <w:sz w:val="24"/>
                <w:szCs w:val="24"/>
              </w:rPr>
              <w:fldChar w:fldCharType="begin"/>
            </w:r>
            <w:r w:rsidR="000437FE" w:rsidRPr="00FD4D01">
              <w:rPr>
                <w:rFonts w:ascii="Calibri" w:hAnsi="Calibri" w:cs="Calibri"/>
                <w:noProof/>
                <w:webHidden/>
                <w:sz w:val="24"/>
                <w:szCs w:val="24"/>
              </w:rPr>
              <w:instrText xml:space="preserve"> PAGEREF _Toc221201954 \h </w:instrText>
            </w:r>
            <w:r w:rsidR="000437FE" w:rsidRPr="00FD4D01">
              <w:rPr>
                <w:rFonts w:ascii="Calibri" w:hAnsi="Calibri" w:cs="Calibri"/>
                <w:noProof/>
                <w:webHidden/>
                <w:sz w:val="24"/>
                <w:szCs w:val="24"/>
              </w:rPr>
            </w:r>
            <w:r w:rsidR="000437FE" w:rsidRPr="00FD4D01">
              <w:rPr>
                <w:rFonts w:ascii="Calibri" w:hAnsi="Calibri" w:cs="Calibri"/>
                <w:noProof/>
                <w:webHidden/>
                <w:sz w:val="24"/>
                <w:szCs w:val="24"/>
              </w:rPr>
              <w:fldChar w:fldCharType="separate"/>
            </w:r>
            <w:r w:rsidR="000437FE" w:rsidRPr="00FD4D01">
              <w:rPr>
                <w:rFonts w:ascii="Calibri" w:hAnsi="Calibri" w:cs="Calibri"/>
                <w:noProof/>
                <w:webHidden/>
                <w:sz w:val="24"/>
                <w:szCs w:val="24"/>
              </w:rPr>
              <w:t>2</w:t>
            </w:r>
            <w:r w:rsidR="000437FE" w:rsidRPr="00FD4D01">
              <w:rPr>
                <w:rFonts w:ascii="Calibri" w:hAnsi="Calibri" w:cs="Calibri"/>
                <w:noProof/>
                <w:webHidden/>
                <w:sz w:val="24"/>
                <w:szCs w:val="24"/>
              </w:rPr>
              <w:fldChar w:fldCharType="end"/>
            </w:r>
          </w:hyperlink>
        </w:p>
        <w:p w14:paraId="62C82D21" w14:textId="7FCE02C8"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5" w:history="1">
            <w:r w:rsidRPr="00FD4D01">
              <w:rPr>
                <w:rStyle w:val="Hyperlink"/>
                <w:rFonts w:ascii="Calibri" w:hAnsi="Calibri" w:cs="Calibri"/>
                <w:noProof/>
                <w:color w:val="auto"/>
                <w:sz w:val="24"/>
                <w:szCs w:val="24"/>
              </w:rPr>
              <w:t>1.Introduction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_Toc221201955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4</w:t>
            </w:r>
            <w:r w:rsidRPr="00FD4D01">
              <w:rPr>
                <w:rFonts w:ascii="Calibri" w:hAnsi="Calibri" w:cs="Calibri"/>
                <w:noProof/>
                <w:webHidden/>
                <w:sz w:val="24"/>
                <w:szCs w:val="24"/>
              </w:rPr>
              <w:fldChar w:fldCharType="end"/>
            </w:r>
          </w:hyperlink>
        </w:p>
        <w:p w14:paraId="34782521" w14:textId="4AF2BB27"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6" w:history="1">
            <w:r w:rsidRPr="00FD4D01">
              <w:rPr>
                <w:rStyle w:val="Hyperlink"/>
                <w:rFonts w:ascii="Calibri" w:hAnsi="Calibri" w:cs="Calibri"/>
                <w:noProof/>
                <w:color w:val="auto"/>
                <w:sz w:val="24"/>
                <w:szCs w:val="24"/>
              </w:rPr>
              <w:t>2. Literature Review</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_Toc221201956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6</w:t>
            </w:r>
            <w:r w:rsidRPr="00FD4D01">
              <w:rPr>
                <w:rFonts w:ascii="Calibri" w:hAnsi="Calibri" w:cs="Calibri"/>
                <w:noProof/>
                <w:webHidden/>
                <w:sz w:val="24"/>
                <w:szCs w:val="24"/>
              </w:rPr>
              <w:fldChar w:fldCharType="end"/>
            </w:r>
          </w:hyperlink>
        </w:p>
        <w:p w14:paraId="00352A2D" w14:textId="4718D038"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7" w:history="1">
            <w:r w:rsidRPr="00FD4D01">
              <w:rPr>
                <w:rStyle w:val="Hyperlink"/>
                <w:rFonts w:ascii="Calibri" w:hAnsi="Calibri" w:cs="Calibri"/>
                <w:noProof/>
                <w:color w:val="auto"/>
                <w:sz w:val="24"/>
                <w:szCs w:val="24"/>
              </w:rPr>
              <w:t>3 Methodology</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_Toc221201957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11</w:t>
            </w:r>
            <w:r w:rsidRPr="00FD4D01">
              <w:rPr>
                <w:rFonts w:ascii="Calibri" w:hAnsi="Calibri" w:cs="Calibri"/>
                <w:noProof/>
                <w:webHidden/>
                <w:sz w:val="24"/>
                <w:szCs w:val="24"/>
              </w:rPr>
              <w:fldChar w:fldCharType="end"/>
            </w:r>
          </w:hyperlink>
        </w:p>
        <w:p w14:paraId="129FA2E5" w14:textId="6EAB7FFE"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8" w:history="1">
            <w:r w:rsidRPr="00FD4D01">
              <w:rPr>
                <w:rStyle w:val="Hyperlink"/>
                <w:rFonts w:ascii="Calibri" w:hAnsi="Calibri" w:cs="Calibri"/>
                <w:noProof/>
                <w:color w:val="auto"/>
                <w:sz w:val="24"/>
                <w:szCs w:val="24"/>
              </w:rPr>
              <w:t>4 Finding</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_Toc221201958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15</w:t>
            </w:r>
            <w:r w:rsidRPr="00FD4D01">
              <w:rPr>
                <w:rFonts w:ascii="Calibri" w:hAnsi="Calibri" w:cs="Calibri"/>
                <w:noProof/>
                <w:webHidden/>
                <w:sz w:val="24"/>
                <w:szCs w:val="24"/>
              </w:rPr>
              <w:fldChar w:fldCharType="end"/>
            </w:r>
          </w:hyperlink>
        </w:p>
        <w:p w14:paraId="1138D48E" w14:textId="50146812"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59" w:history="1">
            <w:r w:rsidRPr="00FD4D01">
              <w:rPr>
                <w:rStyle w:val="Hyperlink"/>
                <w:rFonts w:ascii="Calibri" w:hAnsi="Calibri" w:cs="Calibri"/>
                <w:noProof/>
                <w:color w:val="auto"/>
                <w:sz w:val="24"/>
                <w:szCs w:val="24"/>
              </w:rPr>
              <w:t>5. Discussion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_Toc221201959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17</w:t>
            </w:r>
            <w:r w:rsidRPr="00FD4D01">
              <w:rPr>
                <w:rFonts w:ascii="Calibri" w:hAnsi="Calibri" w:cs="Calibri"/>
                <w:noProof/>
                <w:webHidden/>
                <w:sz w:val="24"/>
                <w:szCs w:val="24"/>
              </w:rPr>
              <w:fldChar w:fldCharType="end"/>
            </w:r>
          </w:hyperlink>
        </w:p>
        <w:p w14:paraId="4C3F179E" w14:textId="458813BB"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60" w:history="1">
            <w:r w:rsidRPr="00FD4D01">
              <w:rPr>
                <w:rStyle w:val="Hyperlink"/>
                <w:rFonts w:ascii="Calibri" w:hAnsi="Calibri" w:cs="Calibri"/>
                <w:noProof/>
                <w:color w:val="auto"/>
                <w:sz w:val="24"/>
                <w:szCs w:val="24"/>
              </w:rPr>
              <w:t>6. Conclusion</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_Toc221201960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19</w:t>
            </w:r>
            <w:r w:rsidRPr="00FD4D01">
              <w:rPr>
                <w:rFonts w:ascii="Calibri" w:hAnsi="Calibri" w:cs="Calibri"/>
                <w:noProof/>
                <w:webHidden/>
                <w:sz w:val="24"/>
                <w:szCs w:val="24"/>
              </w:rPr>
              <w:fldChar w:fldCharType="end"/>
            </w:r>
          </w:hyperlink>
        </w:p>
        <w:p w14:paraId="2B79F819" w14:textId="469C38D9" w:rsidR="000437FE" w:rsidRPr="00FD4D01" w:rsidRDefault="000437FE">
          <w:pPr>
            <w:pStyle w:val="TOC1"/>
            <w:tabs>
              <w:tab w:val="right" w:leader="dot" w:pos="9350"/>
            </w:tabs>
            <w:rPr>
              <w:rFonts w:ascii="Calibri" w:hAnsi="Calibri" w:cs="Calibri"/>
              <w:noProof/>
              <w:kern w:val="2"/>
              <w:sz w:val="24"/>
              <w:szCs w:val="24"/>
              <w:lang w:val="en-GB" w:eastAsia="en-GB" w:bidi="hi-IN"/>
              <w14:ligatures w14:val="standardContextual"/>
            </w:rPr>
          </w:pPr>
          <w:hyperlink w:anchor="_Toc221201961" w:history="1">
            <w:r w:rsidRPr="00FD4D01">
              <w:rPr>
                <w:rStyle w:val="Hyperlink"/>
                <w:rFonts w:ascii="Calibri" w:hAnsi="Calibri" w:cs="Calibri"/>
                <w:noProof/>
                <w:color w:val="auto"/>
                <w:sz w:val="24"/>
                <w:szCs w:val="24"/>
              </w:rPr>
              <w:t>Reference List</w:t>
            </w:r>
            <w:r w:rsidRPr="00FD4D01">
              <w:rPr>
                <w:rFonts w:ascii="Calibri" w:hAnsi="Calibri" w:cs="Calibri"/>
                <w:noProof/>
                <w:webHidden/>
                <w:sz w:val="24"/>
                <w:szCs w:val="24"/>
              </w:rPr>
              <w:tab/>
            </w:r>
            <w:r w:rsidRPr="00FD4D01">
              <w:rPr>
                <w:rFonts w:ascii="Calibri" w:hAnsi="Calibri" w:cs="Calibri"/>
                <w:noProof/>
                <w:webHidden/>
                <w:sz w:val="24"/>
                <w:szCs w:val="24"/>
              </w:rPr>
              <w:fldChar w:fldCharType="begin"/>
            </w:r>
            <w:r w:rsidRPr="00FD4D01">
              <w:rPr>
                <w:rFonts w:ascii="Calibri" w:hAnsi="Calibri" w:cs="Calibri"/>
                <w:noProof/>
                <w:webHidden/>
                <w:sz w:val="24"/>
                <w:szCs w:val="24"/>
              </w:rPr>
              <w:instrText xml:space="preserve"> PAGEREF _Toc221201961 \h </w:instrText>
            </w:r>
            <w:r w:rsidRPr="00FD4D01">
              <w:rPr>
                <w:rFonts w:ascii="Calibri" w:hAnsi="Calibri" w:cs="Calibri"/>
                <w:noProof/>
                <w:webHidden/>
                <w:sz w:val="24"/>
                <w:szCs w:val="24"/>
              </w:rPr>
            </w:r>
            <w:r w:rsidRPr="00FD4D01">
              <w:rPr>
                <w:rFonts w:ascii="Calibri" w:hAnsi="Calibri" w:cs="Calibri"/>
                <w:noProof/>
                <w:webHidden/>
                <w:sz w:val="24"/>
                <w:szCs w:val="24"/>
              </w:rPr>
              <w:fldChar w:fldCharType="separate"/>
            </w:r>
            <w:r w:rsidRPr="00FD4D01">
              <w:rPr>
                <w:rFonts w:ascii="Calibri" w:hAnsi="Calibri" w:cs="Calibri"/>
                <w:noProof/>
                <w:webHidden/>
                <w:sz w:val="24"/>
                <w:szCs w:val="24"/>
              </w:rPr>
              <w:t>20</w:t>
            </w:r>
            <w:r w:rsidRPr="00FD4D01">
              <w:rPr>
                <w:rFonts w:ascii="Calibri" w:hAnsi="Calibri" w:cs="Calibri"/>
                <w:noProof/>
                <w:webHidden/>
                <w:sz w:val="24"/>
                <w:szCs w:val="24"/>
              </w:rPr>
              <w:fldChar w:fldCharType="end"/>
            </w:r>
          </w:hyperlink>
        </w:p>
        <w:p w14:paraId="646EF9D8" w14:textId="012FB220" w:rsidR="004D7D13" w:rsidRPr="00FD4D01" w:rsidRDefault="004D7D13" w:rsidP="00013DBD">
          <w:pPr>
            <w:spacing w:line="480" w:lineRule="auto"/>
            <w:rPr>
              <w:rFonts w:ascii="Calibri" w:hAnsi="Calibri" w:cs="Calibri"/>
              <w:szCs w:val="24"/>
            </w:rPr>
          </w:pPr>
          <w:r w:rsidRPr="00FD4D01">
            <w:rPr>
              <w:rFonts w:ascii="Calibri" w:hAnsi="Calibri" w:cs="Calibri"/>
              <w:noProof/>
              <w:szCs w:val="24"/>
            </w:rPr>
            <w:fldChar w:fldCharType="end"/>
          </w:r>
        </w:p>
      </w:sdtContent>
    </w:sdt>
    <w:p w14:paraId="1EDA022C" w14:textId="77777777" w:rsidR="004D7D13" w:rsidRPr="00FD4D01" w:rsidRDefault="004D7D13" w:rsidP="00013DBD">
      <w:pPr>
        <w:spacing w:line="480" w:lineRule="auto"/>
        <w:rPr>
          <w:rFonts w:ascii="Calibri" w:hAnsi="Calibri" w:cs="Calibri"/>
          <w:szCs w:val="24"/>
        </w:rPr>
      </w:pPr>
    </w:p>
    <w:p w14:paraId="19B15F5F" w14:textId="77777777" w:rsidR="0095171B" w:rsidRPr="00FD4D01" w:rsidRDefault="0095171B" w:rsidP="00013DBD">
      <w:pPr>
        <w:spacing w:line="480" w:lineRule="auto"/>
        <w:rPr>
          <w:rFonts w:ascii="Calibri" w:hAnsi="Calibri" w:cs="Calibri"/>
          <w:szCs w:val="24"/>
        </w:rPr>
      </w:pPr>
    </w:p>
    <w:p w14:paraId="73636B03" w14:textId="77777777" w:rsidR="0095171B" w:rsidRPr="00FD4D01" w:rsidRDefault="0095171B" w:rsidP="00013DBD">
      <w:pPr>
        <w:spacing w:line="480" w:lineRule="auto"/>
        <w:rPr>
          <w:rFonts w:ascii="Calibri" w:hAnsi="Calibri" w:cs="Calibri"/>
          <w:szCs w:val="24"/>
        </w:rPr>
      </w:pPr>
      <w:r w:rsidRPr="00FD4D01">
        <w:rPr>
          <w:rFonts w:ascii="Calibri" w:hAnsi="Calibri" w:cs="Calibri"/>
          <w:szCs w:val="24"/>
        </w:rPr>
        <w:br w:type="page"/>
      </w:r>
    </w:p>
    <w:p w14:paraId="48512045" w14:textId="2774FE42" w:rsidR="00B06124" w:rsidRPr="00FD4D01" w:rsidRDefault="000E04F4" w:rsidP="00B06124">
      <w:pPr>
        <w:spacing w:line="480" w:lineRule="auto"/>
        <w:rPr>
          <w:rFonts w:ascii="Calibri" w:hAnsi="Calibri" w:cs="Calibri"/>
          <w:szCs w:val="24"/>
        </w:rPr>
      </w:pPr>
      <w:bookmarkStart w:id="1" w:name="_Toc221201955"/>
      <w:r w:rsidRPr="00FD4D01">
        <w:rPr>
          <w:rStyle w:val="Heading1Char"/>
          <w:rFonts w:ascii="Calibri" w:hAnsi="Calibri" w:cs="Calibri"/>
          <w:b/>
          <w:bCs/>
          <w:color w:val="auto"/>
          <w:sz w:val="24"/>
          <w:szCs w:val="24"/>
        </w:rPr>
        <w:lastRenderedPageBreak/>
        <w:t>1</w:t>
      </w:r>
      <w:r w:rsidR="004D7D13" w:rsidRPr="00FD4D01">
        <w:rPr>
          <w:rStyle w:val="Heading1Char"/>
          <w:rFonts w:ascii="Calibri" w:hAnsi="Calibri" w:cs="Calibri"/>
          <w:b/>
          <w:bCs/>
          <w:color w:val="auto"/>
          <w:sz w:val="24"/>
          <w:szCs w:val="24"/>
        </w:rPr>
        <w:t>.</w:t>
      </w:r>
      <w:r w:rsidR="0095171B" w:rsidRPr="00FD4D01">
        <w:rPr>
          <w:rStyle w:val="Heading1Char"/>
          <w:rFonts w:ascii="Calibri" w:hAnsi="Calibri" w:cs="Calibri"/>
          <w:b/>
          <w:bCs/>
          <w:color w:val="auto"/>
          <w:sz w:val="24"/>
          <w:szCs w:val="24"/>
        </w:rPr>
        <w:t>Introduction</w:t>
      </w:r>
      <w:bookmarkEnd w:id="1"/>
      <w:r w:rsidR="0095171B" w:rsidRPr="00FD4D01">
        <w:rPr>
          <w:rStyle w:val="Heading1Char"/>
          <w:rFonts w:ascii="Calibri" w:hAnsi="Calibri" w:cs="Calibri"/>
          <w:color w:val="auto"/>
          <w:sz w:val="24"/>
          <w:szCs w:val="24"/>
        </w:rPr>
        <w:t xml:space="preserve"> </w:t>
      </w:r>
    </w:p>
    <w:p w14:paraId="0A756C4D" w14:textId="77777777" w:rsidR="006826F9" w:rsidRPr="006826F9" w:rsidRDefault="006826F9" w:rsidP="006826F9">
      <w:pPr>
        <w:spacing w:line="480" w:lineRule="auto"/>
        <w:rPr>
          <w:rFonts w:ascii="Calibri" w:hAnsi="Calibri" w:cs="Calibri"/>
          <w:szCs w:val="24"/>
        </w:rPr>
      </w:pPr>
      <w:bookmarkStart w:id="2" w:name="_Toc221201956"/>
      <w:r w:rsidRPr="006826F9">
        <w:rPr>
          <w:rFonts w:ascii="Calibri" w:hAnsi="Calibri" w:cs="Calibri"/>
          <w:szCs w:val="24"/>
        </w:rPr>
        <w:t xml:space="preserve">The tourism industry is one of the most dynamic and most globally connected sectors of the modern economy involving many stakeholders, including airlines, hotels, tour operators, online travel agencies and destination management organisations. Tourism transactions differ from many traditional consumer markets in that services are usually purchased in advance, consumed at some later date, and are usually provided by foreign jurisdictions. These characteristics create more uncertainty to </w:t>
      </w:r>
      <w:proofErr w:type="spellStart"/>
      <w:r w:rsidRPr="006826F9">
        <w:rPr>
          <w:rFonts w:ascii="Calibri" w:hAnsi="Calibri" w:cs="Calibri"/>
          <w:szCs w:val="24"/>
        </w:rPr>
        <w:t>travelers</w:t>
      </w:r>
      <w:proofErr w:type="spellEnd"/>
      <w:r w:rsidRPr="006826F9">
        <w:rPr>
          <w:rFonts w:ascii="Calibri" w:hAnsi="Calibri" w:cs="Calibri"/>
          <w:szCs w:val="24"/>
        </w:rPr>
        <w:t xml:space="preserve"> and expose them to unfair practices, incorrect information, or unsuccessful service (Zhang &amp; Cole, 2016). Consequently, consumer protection laws have emerged as an indispensable regulatory scheme in the tourism industry. </w:t>
      </w:r>
    </w:p>
    <w:p w14:paraId="55C86A3D" w14:textId="77777777" w:rsidR="006826F9" w:rsidRPr="006826F9" w:rsidRDefault="006826F9" w:rsidP="006826F9">
      <w:pPr>
        <w:spacing w:line="480" w:lineRule="auto"/>
        <w:rPr>
          <w:rFonts w:ascii="Calibri" w:hAnsi="Calibri" w:cs="Calibri"/>
          <w:szCs w:val="24"/>
        </w:rPr>
      </w:pPr>
      <w:r w:rsidRPr="006826F9">
        <w:rPr>
          <w:rFonts w:ascii="Calibri" w:hAnsi="Calibri" w:cs="Calibri"/>
          <w:szCs w:val="24"/>
        </w:rPr>
        <w:t xml:space="preserve">The purpose of consumer protection laws is to protect the customers against deceptive advertising, unsafe goods and services, and unfair business practices. In tourism, such regulations concern structural inequalities between travellers and service providers by facilitating openness, fairness and accountability when interacting with business (Howells et al., 2018). </w:t>
      </w:r>
      <w:proofErr w:type="gramStart"/>
      <w:r w:rsidRPr="006826F9">
        <w:rPr>
          <w:rFonts w:ascii="Calibri" w:hAnsi="Calibri" w:cs="Calibri"/>
          <w:szCs w:val="24"/>
        </w:rPr>
        <w:t>Travelers</w:t>
      </w:r>
      <w:proofErr w:type="gramEnd"/>
      <w:r w:rsidRPr="006826F9">
        <w:rPr>
          <w:rFonts w:ascii="Calibri" w:hAnsi="Calibri" w:cs="Calibri"/>
          <w:szCs w:val="24"/>
        </w:rPr>
        <w:t xml:space="preserve"> rights usually involve the right to access accurate information, to be charged fairly, to have fair contracts and to have a remedy when services are not provided as stated. At the same time, the travellers have certain obligations to be met such as conditions in booking, acting in good faith in deployment of the contract etc.</w:t>
      </w:r>
    </w:p>
    <w:p w14:paraId="04A07CB5" w14:textId="77777777" w:rsidR="006826F9" w:rsidRPr="006826F9" w:rsidRDefault="006826F9" w:rsidP="006826F9">
      <w:pPr>
        <w:spacing w:line="480" w:lineRule="auto"/>
        <w:rPr>
          <w:rFonts w:ascii="Calibri" w:hAnsi="Calibri" w:cs="Calibri"/>
          <w:szCs w:val="24"/>
        </w:rPr>
      </w:pPr>
      <w:r w:rsidRPr="006826F9">
        <w:rPr>
          <w:rFonts w:ascii="Calibri" w:hAnsi="Calibri" w:cs="Calibri"/>
          <w:szCs w:val="24"/>
        </w:rPr>
        <w:t xml:space="preserve">A major field in which tourism consumer protection focuses is in the regulation of package travel and linked travel arrangements. Package travel legislation aims to simplify complex travel transactions and apportion responsibility for the performance of the travel package overall to a single organiser. This strategy goes a long way to alleviate the cost to consumers in terms of the </w:t>
      </w:r>
      <w:r w:rsidRPr="006826F9">
        <w:rPr>
          <w:rFonts w:ascii="Calibri" w:hAnsi="Calibri" w:cs="Calibri"/>
          <w:szCs w:val="24"/>
        </w:rPr>
        <w:lastRenderedPageBreak/>
        <w:t xml:space="preserve">burden placed on them to bring claims on multiple suppliers in different jurisdictions (Lohmann &amp; Netto, 2016). Similar protections exist in general consumer protection laws governing unfair commercial practices, deceptive advertising, and contract transparency. </w:t>
      </w:r>
    </w:p>
    <w:p w14:paraId="1BDCD75D" w14:textId="77777777" w:rsidR="006826F9" w:rsidRPr="006826F9" w:rsidRDefault="006826F9" w:rsidP="006826F9">
      <w:pPr>
        <w:spacing w:line="480" w:lineRule="auto"/>
        <w:rPr>
          <w:rFonts w:ascii="Calibri" w:hAnsi="Calibri" w:cs="Calibri"/>
          <w:szCs w:val="24"/>
        </w:rPr>
      </w:pPr>
    </w:p>
    <w:p w14:paraId="023ED9B0" w14:textId="77777777" w:rsidR="006826F9" w:rsidRPr="006826F9" w:rsidRDefault="006826F9" w:rsidP="006826F9">
      <w:pPr>
        <w:spacing w:line="480" w:lineRule="auto"/>
        <w:rPr>
          <w:rFonts w:ascii="Calibri" w:hAnsi="Calibri" w:cs="Calibri"/>
          <w:szCs w:val="24"/>
        </w:rPr>
      </w:pPr>
      <w:r w:rsidRPr="006826F9">
        <w:rPr>
          <w:rFonts w:ascii="Calibri" w:hAnsi="Calibri" w:cs="Calibri"/>
          <w:szCs w:val="24"/>
        </w:rPr>
        <w:t xml:space="preserve">The digitalisation of tourism has brought the importance of consumer protection laws to a whole new dimension, with the rapid proliferation of digital tourism platforms. Online booking systems, dynamic pricing strategies, and user-generated reviews have changed the ways in which tourism services are promoted and bought. While these developments increase convenience and choice, they also offer opportunities for hidden charges, deceptive pricing and information overload (Sigala, 2018). Scholars have argued that the digitalisation has worsened information asymmetry, and regulatory watch is necessary </w:t>
      </w:r>
      <w:proofErr w:type="gramStart"/>
      <w:r w:rsidRPr="006826F9">
        <w:rPr>
          <w:rFonts w:ascii="Calibri" w:hAnsi="Calibri" w:cs="Calibri"/>
          <w:szCs w:val="24"/>
        </w:rPr>
        <w:t>in order to</w:t>
      </w:r>
      <w:proofErr w:type="gramEnd"/>
      <w:r w:rsidRPr="006826F9">
        <w:rPr>
          <w:rFonts w:ascii="Calibri" w:hAnsi="Calibri" w:cs="Calibri"/>
          <w:szCs w:val="24"/>
        </w:rPr>
        <w:t xml:space="preserve"> protect consumers from exploitation (</w:t>
      </w:r>
      <w:proofErr w:type="spellStart"/>
      <w:r w:rsidRPr="006826F9">
        <w:rPr>
          <w:rFonts w:ascii="Calibri" w:hAnsi="Calibri" w:cs="Calibri"/>
          <w:szCs w:val="24"/>
        </w:rPr>
        <w:t>Dolnicar</w:t>
      </w:r>
      <w:proofErr w:type="spellEnd"/>
      <w:r w:rsidRPr="006826F9">
        <w:rPr>
          <w:rFonts w:ascii="Calibri" w:hAnsi="Calibri" w:cs="Calibri"/>
          <w:szCs w:val="24"/>
        </w:rPr>
        <w:t xml:space="preserve">, 2019). </w:t>
      </w:r>
    </w:p>
    <w:p w14:paraId="4031F2AE" w14:textId="77777777" w:rsidR="006826F9" w:rsidRPr="006826F9" w:rsidRDefault="006826F9" w:rsidP="006826F9">
      <w:pPr>
        <w:spacing w:line="480" w:lineRule="auto"/>
        <w:rPr>
          <w:rFonts w:ascii="Calibri" w:hAnsi="Calibri" w:cs="Calibri"/>
          <w:szCs w:val="24"/>
        </w:rPr>
      </w:pPr>
      <w:r w:rsidRPr="006826F9">
        <w:rPr>
          <w:rFonts w:ascii="Calibri" w:hAnsi="Calibri" w:cs="Calibri"/>
          <w:szCs w:val="24"/>
        </w:rPr>
        <w:t>In addition, safety and service quality are still basic considerations of tourist consumer protection. Tourism activities often involve transportation, accommodation and leisure experiences which carry inherent risks. Consumer protection laws exist in addition to sector-specific safety regulations and impose minimum regulations to be met by service providers regardless of their contractual disclaimer (</w:t>
      </w:r>
      <w:proofErr w:type="spellStart"/>
      <w:r w:rsidRPr="006826F9">
        <w:rPr>
          <w:rFonts w:ascii="Calibri" w:hAnsi="Calibri" w:cs="Calibri"/>
          <w:szCs w:val="24"/>
        </w:rPr>
        <w:t>Pizam</w:t>
      </w:r>
      <w:proofErr w:type="spellEnd"/>
      <w:r w:rsidRPr="006826F9">
        <w:rPr>
          <w:rFonts w:ascii="Calibri" w:hAnsi="Calibri" w:cs="Calibri"/>
          <w:szCs w:val="24"/>
        </w:rPr>
        <w:t xml:space="preserve"> &amp; Mansfeld, 2016). In the development of tourism models such as peer-to-peer lodging and adventure tourism, such safeguards are particularly important. </w:t>
      </w:r>
    </w:p>
    <w:p w14:paraId="5737CA77" w14:textId="77777777" w:rsidR="006826F9" w:rsidRPr="006826F9" w:rsidRDefault="006826F9" w:rsidP="006826F9">
      <w:pPr>
        <w:spacing w:line="480" w:lineRule="auto"/>
        <w:rPr>
          <w:rFonts w:ascii="Calibri" w:hAnsi="Calibri" w:cs="Calibri"/>
          <w:szCs w:val="24"/>
        </w:rPr>
      </w:pPr>
      <w:r w:rsidRPr="006826F9">
        <w:rPr>
          <w:rFonts w:ascii="Calibri" w:hAnsi="Calibri" w:cs="Calibri"/>
          <w:szCs w:val="24"/>
        </w:rPr>
        <w:t xml:space="preserve">This assignment examines the issue of consumer protection legislation in the tourist business by examining the legislative frameworks, regulation roles and dispute resolution procedures. By </w:t>
      </w:r>
      <w:r w:rsidRPr="006826F9">
        <w:rPr>
          <w:rFonts w:ascii="Calibri" w:hAnsi="Calibri" w:cs="Calibri"/>
          <w:szCs w:val="24"/>
        </w:rPr>
        <w:lastRenderedPageBreak/>
        <w:t xml:space="preserve">doing this, it shows how consumer protection laws contribute to </w:t>
      </w:r>
      <w:proofErr w:type="spellStart"/>
      <w:r w:rsidRPr="006826F9">
        <w:rPr>
          <w:rFonts w:ascii="Calibri" w:hAnsi="Calibri" w:cs="Calibri"/>
          <w:szCs w:val="24"/>
        </w:rPr>
        <w:t>traveler</w:t>
      </w:r>
      <w:proofErr w:type="spellEnd"/>
      <w:r w:rsidRPr="006826F9">
        <w:rPr>
          <w:rFonts w:ascii="Calibri" w:hAnsi="Calibri" w:cs="Calibri"/>
          <w:szCs w:val="24"/>
        </w:rPr>
        <w:t xml:space="preserve"> confidence, equivalent market </w:t>
      </w:r>
      <w:proofErr w:type="gramStart"/>
      <w:r w:rsidRPr="006826F9">
        <w:rPr>
          <w:rFonts w:ascii="Calibri" w:hAnsi="Calibri" w:cs="Calibri"/>
          <w:szCs w:val="24"/>
        </w:rPr>
        <w:t>and also</w:t>
      </w:r>
      <w:proofErr w:type="gramEnd"/>
      <w:r w:rsidRPr="006826F9">
        <w:rPr>
          <w:rFonts w:ascii="Calibri" w:hAnsi="Calibri" w:cs="Calibri"/>
          <w:szCs w:val="24"/>
        </w:rPr>
        <w:t xml:space="preserve"> the sustainable advancement of tourism in an increasingly globalised, digital setting.</w:t>
      </w:r>
    </w:p>
    <w:p w14:paraId="71D71E88" w14:textId="77777777" w:rsidR="00D349AA" w:rsidRPr="00D349AA" w:rsidRDefault="00D349AA" w:rsidP="00D349AA">
      <w:pPr>
        <w:spacing w:line="480" w:lineRule="auto"/>
        <w:rPr>
          <w:rFonts w:ascii="Calibri" w:hAnsi="Calibri" w:cs="Calibri"/>
          <w:szCs w:val="24"/>
        </w:rPr>
      </w:pPr>
    </w:p>
    <w:p w14:paraId="3BF31C3F" w14:textId="77777777" w:rsidR="005C7750" w:rsidRPr="00FD4D01" w:rsidRDefault="000E04F4" w:rsidP="005C7750">
      <w:pPr>
        <w:spacing w:line="480" w:lineRule="auto"/>
        <w:rPr>
          <w:rFonts w:ascii="Calibri" w:hAnsi="Calibri" w:cs="Calibri"/>
          <w:szCs w:val="24"/>
        </w:rPr>
      </w:pPr>
      <w:r w:rsidRPr="00FD4D01">
        <w:rPr>
          <w:rStyle w:val="Heading1Char"/>
          <w:rFonts w:ascii="Calibri" w:hAnsi="Calibri" w:cs="Calibri"/>
          <w:b/>
          <w:bCs/>
          <w:color w:val="auto"/>
          <w:sz w:val="24"/>
          <w:szCs w:val="24"/>
        </w:rPr>
        <w:t>2</w:t>
      </w:r>
      <w:r w:rsidR="0095171B" w:rsidRPr="00FD4D01">
        <w:rPr>
          <w:rStyle w:val="Heading1Char"/>
          <w:rFonts w:ascii="Calibri" w:hAnsi="Calibri" w:cs="Calibri"/>
          <w:b/>
          <w:bCs/>
          <w:color w:val="auto"/>
          <w:sz w:val="24"/>
          <w:szCs w:val="24"/>
        </w:rPr>
        <w:t>. Literature Review</w:t>
      </w:r>
      <w:bookmarkEnd w:id="2"/>
      <w:r w:rsidR="0095171B" w:rsidRPr="00FD4D01">
        <w:rPr>
          <w:rFonts w:ascii="Calibri" w:hAnsi="Calibri" w:cs="Calibri"/>
          <w:szCs w:val="24"/>
        </w:rPr>
        <w:t xml:space="preserve"> </w:t>
      </w:r>
      <w:r w:rsidR="0095171B" w:rsidRPr="00FD4D01">
        <w:rPr>
          <w:rFonts w:ascii="Calibri" w:hAnsi="Calibri" w:cs="Calibri"/>
          <w:szCs w:val="24"/>
        </w:rPr>
        <w:br/>
      </w:r>
      <w:bookmarkStart w:id="3" w:name="_Toc221201957"/>
      <w:r w:rsidR="005C7750" w:rsidRPr="00FD4D01">
        <w:rPr>
          <w:rFonts w:ascii="Calibri" w:hAnsi="Calibri" w:cs="Calibri"/>
          <w:szCs w:val="24"/>
        </w:rPr>
        <w:t xml:space="preserve">Consumer protection laws have gained increasing prominence in tourism studies due to the sector’s distinctive transactional characteristics. Tourism services are typically purchased in advance, consumed </w:t>
      </w:r>
      <w:proofErr w:type="gramStart"/>
      <w:r w:rsidR="005C7750" w:rsidRPr="00FD4D01">
        <w:rPr>
          <w:rFonts w:ascii="Calibri" w:hAnsi="Calibri" w:cs="Calibri"/>
          <w:szCs w:val="24"/>
        </w:rPr>
        <w:t>at a later time</w:t>
      </w:r>
      <w:proofErr w:type="gramEnd"/>
      <w:r w:rsidR="005C7750" w:rsidRPr="00FD4D01">
        <w:rPr>
          <w:rFonts w:ascii="Calibri" w:hAnsi="Calibri" w:cs="Calibri"/>
          <w:szCs w:val="24"/>
        </w:rPr>
        <w:t>, and often delivered in unfamiliar or foreign environments. Scholars argue that these features expose tourists to higher levels of uncertainty and risk than those found in many traditional consumer markets, thereby justifying enhanced regulatory protection (Zhang &amp; Cole, 2016). As tourism has expanded globally and digitally, consumer protection has become a central concern within tourism law and policy literature.</w:t>
      </w:r>
    </w:p>
    <w:p w14:paraId="788F71A1"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Conceptual Foundations of Consumer Protection in Tourism</w:t>
      </w:r>
    </w:p>
    <w:p w14:paraId="3207180A"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Consumer protection law is commonly defined as a regulatory framework aimed at safeguarding consumers from unfair commercial practices, misleading information, and unsafe products or services. In the tourism context, researchers emphasise that consumer protection serves as a corrective mechanism that compensates for structural imbalances between tourists and service providers (Howells et al., 2018). Unlike standard consumer goods, tourism services are intangible and experiential, meaning that quality cannot be fully assessed before consumption. This limitation significantly increases reliance on information supplied by businesses and intermediaries.</w:t>
      </w:r>
    </w:p>
    <w:p w14:paraId="5531F67F"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lastRenderedPageBreak/>
        <w:t>Academic literature highlights that traditional contract law principles, such as freedom of contract and caveat emptor, are insufficient to protect tourists in mass tourism markets. Standard-form contracts, non-negotiable terms, and extensive disclaimers limit genuine consumer consent. Consumer protection laws therefore operate as mandatory safeguards that override unfair contractual provisions and promote substantive fairness (</w:t>
      </w:r>
      <w:proofErr w:type="spellStart"/>
      <w:r w:rsidRPr="005C7750">
        <w:rPr>
          <w:rFonts w:ascii="Calibri" w:hAnsi="Calibri" w:cs="Calibri"/>
          <w:szCs w:val="24"/>
        </w:rPr>
        <w:t>Micklitz</w:t>
      </w:r>
      <w:proofErr w:type="spellEnd"/>
      <w:r w:rsidRPr="005C7750">
        <w:rPr>
          <w:rFonts w:ascii="Calibri" w:hAnsi="Calibri" w:cs="Calibri"/>
          <w:szCs w:val="24"/>
        </w:rPr>
        <w:t>, 2015).</w:t>
      </w:r>
    </w:p>
    <w:p w14:paraId="78CA4F2F"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Tourist Vulnerability and Information Asymmetry</w:t>
      </w:r>
    </w:p>
    <w:p w14:paraId="044CB13E"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A dominant theme within the literature is tourist vulnerability. Tourists are often unfamiliar with destinations, legal systems, and local standards, which places them at a disadvantage when problems arise. Studies suggest that vulnerability is intensified by language barriers, cultural differences, and limited access to redress mechanisms during travel (Wilks &amp; Pendergast, 2017). Consumer protection laws aim to reduce this vulnerability by imposing obligations on businesses to provide clear, accurate, and timely information.</w:t>
      </w:r>
    </w:p>
    <w:p w14:paraId="0D38520C"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Information asymmetry is particularly evident in tourism marketing and pricing practices. Scholars note that tourists frequently rely on visual imagery, promotional descriptions, and online reviews when selecting travel services. While digital platforms have increased access to information, they have also created opportunities for misleading representations and selective disclosure (</w:t>
      </w:r>
      <w:proofErr w:type="spellStart"/>
      <w:r w:rsidRPr="005C7750">
        <w:rPr>
          <w:rFonts w:ascii="Calibri" w:hAnsi="Calibri" w:cs="Calibri"/>
          <w:szCs w:val="24"/>
        </w:rPr>
        <w:t>Dolnicar</w:t>
      </w:r>
      <w:proofErr w:type="spellEnd"/>
      <w:r w:rsidRPr="005C7750">
        <w:rPr>
          <w:rFonts w:ascii="Calibri" w:hAnsi="Calibri" w:cs="Calibri"/>
          <w:szCs w:val="24"/>
        </w:rPr>
        <w:t>, 2019). Consumer protection frameworks address these risks by regulating advertising practices and prohibiting deceptive or misleading conduct.</w:t>
      </w:r>
    </w:p>
    <w:p w14:paraId="44B04484"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Regulation of Unfair Commercial Practices</w:t>
      </w:r>
    </w:p>
    <w:p w14:paraId="39415199"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 xml:space="preserve">The regulation of unfair commercial practices is a core component of tourism consumer protection. Unfair practices include misleading advertising, hidden fees, false price comparisons, </w:t>
      </w:r>
      <w:r w:rsidRPr="005C7750">
        <w:rPr>
          <w:rFonts w:ascii="Calibri" w:hAnsi="Calibri" w:cs="Calibri"/>
          <w:szCs w:val="24"/>
        </w:rPr>
        <w:lastRenderedPageBreak/>
        <w:t>and aggressive sales techniques. Empirical research indicates that pricing-related complaints are among the most common issues raised by tourism consumers, particularly in online booking environments (Santos &amp; Basso, 2019).</w:t>
      </w:r>
    </w:p>
    <w:p w14:paraId="19E425AA"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Digitalisation has significantly complicated the regulation of unfair practices. Dynamic pricing algorithms, bundled services, and optional add-ons often obscure the true cost of tourism services. Scholars argue that consumer protection laws must evolve to ensure transparency in digital markets, requiring businesses to disclose total prices and material conditions clearly and prominently (Sigala, 2018). Regulatory intervention in this area reflects a broader shift toward protecting informed consumer choice.</w:t>
      </w:r>
    </w:p>
    <w:p w14:paraId="60859E62"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Package Travel and Organiser Accountability</w:t>
      </w:r>
    </w:p>
    <w:p w14:paraId="0119F537"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Package travel regulation represents one of the most developed areas of consumer protection in tourism. The literature consistently highlights that package travel laws were introduced to address the complexity of multi-component travel arrangements. By assigning responsibility to a single organiser, these laws reduce the burden on consumers and simplify dispute resolution (Lohmann &amp; Netto, 2016).</w:t>
      </w:r>
    </w:p>
    <w:p w14:paraId="5BE0E9C3"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 xml:space="preserve">Researchers argue that organiser accountability is essential for effective consumer protection, as tourists would otherwise face significant challenges in pursuing claims against multiple suppliers across jurisdictions. Package travel regulation also strengthens consumer rights by guaranteeing remedies such as refunds, compensation, and assistance in cases of service failure or insolvency. Comparative studies suggest that while regulatory approaches vary </w:t>
      </w:r>
      <w:r w:rsidRPr="005C7750">
        <w:rPr>
          <w:rFonts w:ascii="Calibri" w:hAnsi="Calibri" w:cs="Calibri"/>
          <w:szCs w:val="24"/>
        </w:rPr>
        <w:lastRenderedPageBreak/>
        <w:t>internationally, the principle of organiser responsibility remains central to tourism consumer protection frameworks (Howells et al., 2018).</w:t>
      </w:r>
    </w:p>
    <w:p w14:paraId="5E74D32D"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Safety and Service Quality in Tourism</w:t>
      </w:r>
    </w:p>
    <w:p w14:paraId="42D65BE2"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Safety and service quality are critical dimensions of consumer protection in tourism. Tourism activities frequently involve transportation, accommodation, and recreational experiences that pose physical and psychological risks. Scholars emphasise that consumer protection laws complement sector-specific safety regulations by establishing minimum standards that cannot be excluded by contract (</w:t>
      </w:r>
      <w:proofErr w:type="spellStart"/>
      <w:r w:rsidRPr="005C7750">
        <w:rPr>
          <w:rFonts w:ascii="Calibri" w:hAnsi="Calibri" w:cs="Calibri"/>
          <w:szCs w:val="24"/>
        </w:rPr>
        <w:t>Pizam</w:t>
      </w:r>
      <w:proofErr w:type="spellEnd"/>
      <w:r w:rsidRPr="005C7750">
        <w:rPr>
          <w:rFonts w:ascii="Calibri" w:hAnsi="Calibri" w:cs="Calibri"/>
          <w:szCs w:val="24"/>
        </w:rPr>
        <w:t xml:space="preserve"> &amp; Mansfeld, 2016).</w:t>
      </w:r>
    </w:p>
    <w:p w14:paraId="348FD494"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Research into adventure tourism and peer-to-peer accommodation highlights regulatory gaps created by rapid market innovation. In such contexts, consumer protection laws play a crucial role in filling enforcement gaps and ensuring that basic safety and quality standards are maintained. The literature suggests that statutory safety obligations enhance consumer trust and contribute to the long-term sustainability of tourism destinations.</w:t>
      </w:r>
    </w:p>
    <w:p w14:paraId="0CDB05B0"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Responsibilities of Tourism Service Providers</w:t>
      </w:r>
    </w:p>
    <w:p w14:paraId="4975F532"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The responsibilities imposed on tourism service providers are a central focus of consumer protection scholarship. Businesses are expected to ensure truthful marketing, transparent pricing, fair contractual terms, and accessible complaint-handling mechanisms. Studies indicate that compliance with consumer protection laws has become a key aspect of corporate governance and risk management within tourism organisations (OECD, 2020).</w:t>
      </w:r>
    </w:p>
    <w:p w14:paraId="4D4C6B36"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lastRenderedPageBreak/>
        <w:t>Failure to comply with these obligations can result in regulatory sanctions, financial penalties, and reputational damage. Scholars argue that this deterrent effect encourages ethical conduct and reduces the incidence of consumer disputes. Moreover, consumer protection laws increasingly require service providers to monitor third-party suppliers, reflecting the interconnected nature of tourism supply chains.</w:t>
      </w:r>
    </w:p>
    <w:p w14:paraId="07B9CD9D"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Consumer Redress and Dispute Resolution</w:t>
      </w:r>
    </w:p>
    <w:p w14:paraId="7E11AF16"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Effective redress mechanisms are essential for the enforcement of consumer protection laws. The literature identifies multiple avenues for resolving tourism disputes, including courts, regulatory agencies, and alternative dispute resolution (ADR) mechanisms. ADR is often promoted as a cost-effective and efficient means of resolving disputes, particularly in cross-border tourism contexts (Spencer, 2020).</w:t>
      </w:r>
    </w:p>
    <w:p w14:paraId="0776E1E5"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However, critical scholarship raises concerns regarding accessibility, transparency, and procedural fairness in ADR systems. Mandatory ADR clauses may disadvantage tourists if they restrict access to judicial remedies or impose unfamiliar procedures. This has led to calls for stronger regulatory oversight to ensure that ADR complements, rather than undermines, consumer protection objectives (Ramsay, 2012).</w:t>
      </w:r>
    </w:p>
    <w:p w14:paraId="76C4CE41" w14:textId="77777777" w:rsidR="005C7750" w:rsidRPr="005C7750" w:rsidRDefault="005C7750" w:rsidP="005C7750">
      <w:pPr>
        <w:spacing w:line="480" w:lineRule="auto"/>
        <w:rPr>
          <w:rFonts w:ascii="Calibri" w:hAnsi="Calibri" w:cs="Calibri"/>
          <w:b/>
          <w:bCs/>
          <w:szCs w:val="24"/>
        </w:rPr>
      </w:pPr>
      <w:r w:rsidRPr="005C7750">
        <w:rPr>
          <w:rFonts w:ascii="Calibri" w:hAnsi="Calibri" w:cs="Calibri"/>
          <w:b/>
          <w:bCs/>
          <w:szCs w:val="24"/>
        </w:rPr>
        <w:t>Critical Evaluation and Research Gaps</w:t>
      </w:r>
    </w:p>
    <w:p w14:paraId="77297910"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 xml:space="preserve">Despite extensive research, gaps remain in the literature on consumer protection in tourism. Much of the existing scholarship focuses on developed economies, with limited attention to emerging destinations where enforcement capacity may be weaker. Additionally, rapid digital </w:t>
      </w:r>
      <w:r w:rsidRPr="005C7750">
        <w:rPr>
          <w:rFonts w:ascii="Calibri" w:hAnsi="Calibri" w:cs="Calibri"/>
          <w:szCs w:val="24"/>
        </w:rPr>
        <w:lastRenderedPageBreak/>
        <w:t>transformation continues to challenge traditional regulatory models, particularly in relation to platform-based tourism services.</w:t>
      </w:r>
    </w:p>
    <w:p w14:paraId="0D1658EC" w14:textId="77777777" w:rsidR="005C7750" w:rsidRPr="005C7750" w:rsidRDefault="005C7750" w:rsidP="005C7750">
      <w:pPr>
        <w:spacing w:line="480" w:lineRule="auto"/>
        <w:rPr>
          <w:rFonts w:ascii="Calibri" w:hAnsi="Calibri" w:cs="Calibri"/>
          <w:szCs w:val="24"/>
        </w:rPr>
      </w:pPr>
      <w:r w:rsidRPr="005C7750">
        <w:rPr>
          <w:rFonts w:ascii="Calibri" w:hAnsi="Calibri" w:cs="Calibri"/>
          <w:szCs w:val="24"/>
        </w:rPr>
        <w:t>Overall, the literature confirms that consumer protection laws are essential to addressing structural vulnerabilities in tourism markets. At the same time, it highlights the need for continuous legal adaptation and international cooperation to ensure effective protection in an evolving tourism landscape.</w:t>
      </w:r>
    </w:p>
    <w:p w14:paraId="3F7FC278" w14:textId="2D5DFDD3" w:rsidR="00057821" w:rsidRPr="00FD4D01" w:rsidRDefault="00057821" w:rsidP="003A5BF6">
      <w:pPr>
        <w:spacing w:line="480" w:lineRule="auto"/>
        <w:rPr>
          <w:rStyle w:val="Heading1Char"/>
          <w:rFonts w:ascii="Calibri" w:hAnsi="Calibri" w:cs="Calibri"/>
          <w:b/>
          <w:bCs/>
          <w:color w:val="auto"/>
          <w:sz w:val="24"/>
          <w:szCs w:val="24"/>
        </w:rPr>
      </w:pPr>
    </w:p>
    <w:p w14:paraId="74FF40EA" w14:textId="77777777" w:rsidR="00057821" w:rsidRPr="00FD4D01" w:rsidRDefault="00057821" w:rsidP="003A5BF6">
      <w:pPr>
        <w:spacing w:line="480" w:lineRule="auto"/>
        <w:rPr>
          <w:rStyle w:val="Heading1Char"/>
          <w:rFonts w:ascii="Calibri" w:hAnsi="Calibri" w:cs="Calibri"/>
          <w:b/>
          <w:bCs/>
          <w:color w:val="auto"/>
          <w:sz w:val="24"/>
          <w:szCs w:val="24"/>
        </w:rPr>
      </w:pPr>
    </w:p>
    <w:p w14:paraId="201C1B87" w14:textId="77777777" w:rsidR="00D92241" w:rsidRPr="00FD4D01" w:rsidRDefault="00D92241" w:rsidP="003A5BF6">
      <w:pPr>
        <w:spacing w:line="480" w:lineRule="auto"/>
        <w:rPr>
          <w:rStyle w:val="Heading1Char"/>
          <w:rFonts w:ascii="Calibri" w:hAnsi="Calibri" w:cs="Calibri"/>
          <w:b/>
          <w:bCs/>
          <w:color w:val="auto"/>
          <w:sz w:val="24"/>
          <w:szCs w:val="24"/>
        </w:rPr>
      </w:pPr>
    </w:p>
    <w:p w14:paraId="75571E61" w14:textId="77777777" w:rsidR="00D92241" w:rsidRPr="00FD4D01" w:rsidRDefault="00D92241" w:rsidP="003A5BF6">
      <w:pPr>
        <w:spacing w:line="480" w:lineRule="auto"/>
        <w:rPr>
          <w:rStyle w:val="Heading1Char"/>
          <w:rFonts w:ascii="Calibri" w:hAnsi="Calibri" w:cs="Calibri"/>
          <w:b/>
          <w:bCs/>
          <w:color w:val="auto"/>
          <w:sz w:val="24"/>
          <w:szCs w:val="24"/>
        </w:rPr>
      </w:pPr>
    </w:p>
    <w:p w14:paraId="18A7F6A2" w14:textId="77777777" w:rsidR="00057821" w:rsidRPr="00FD4D01" w:rsidRDefault="00057821" w:rsidP="003A5BF6">
      <w:pPr>
        <w:spacing w:line="480" w:lineRule="auto"/>
        <w:rPr>
          <w:rStyle w:val="Heading1Char"/>
          <w:rFonts w:ascii="Calibri" w:hAnsi="Calibri" w:cs="Calibri"/>
          <w:b/>
          <w:bCs/>
          <w:color w:val="auto"/>
          <w:sz w:val="24"/>
          <w:szCs w:val="24"/>
        </w:rPr>
      </w:pPr>
    </w:p>
    <w:p w14:paraId="762B68EC" w14:textId="77777777" w:rsidR="008125F0" w:rsidRPr="00FD4D01" w:rsidRDefault="00843EDD" w:rsidP="008125F0">
      <w:pPr>
        <w:spacing w:line="480" w:lineRule="auto"/>
        <w:rPr>
          <w:rFonts w:ascii="Calibri" w:hAnsi="Calibri" w:cs="Calibri"/>
          <w:szCs w:val="24"/>
        </w:rPr>
      </w:pPr>
      <w:r w:rsidRPr="00FD4D01">
        <w:rPr>
          <w:rStyle w:val="Heading1Char"/>
          <w:rFonts w:ascii="Calibri" w:hAnsi="Calibri" w:cs="Calibri"/>
          <w:b/>
          <w:bCs/>
          <w:color w:val="auto"/>
          <w:sz w:val="24"/>
          <w:szCs w:val="24"/>
        </w:rPr>
        <w:t>3</w:t>
      </w:r>
      <w:r w:rsidR="00582227" w:rsidRPr="00FD4D01">
        <w:rPr>
          <w:rStyle w:val="Heading1Char"/>
          <w:rFonts w:ascii="Calibri" w:hAnsi="Calibri" w:cs="Calibri"/>
          <w:b/>
          <w:bCs/>
          <w:color w:val="auto"/>
          <w:sz w:val="24"/>
          <w:szCs w:val="24"/>
        </w:rPr>
        <w:t xml:space="preserve"> Methodology</w:t>
      </w:r>
      <w:bookmarkEnd w:id="3"/>
      <w:r w:rsidR="00582227" w:rsidRPr="00FD4D01">
        <w:rPr>
          <w:rFonts w:ascii="Calibri" w:hAnsi="Calibri" w:cs="Calibri"/>
          <w:b/>
          <w:bCs/>
          <w:szCs w:val="24"/>
        </w:rPr>
        <w:t xml:space="preserve"> </w:t>
      </w:r>
      <w:r w:rsidR="00582227" w:rsidRPr="00FD4D01">
        <w:rPr>
          <w:rFonts w:ascii="Calibri" w:hAnsi="Calibri" w:cs="Calibri"/>
          <w:szCs w:val="24"/>
        </w:rPr>
        <w:br/>
      </w:r>
      <w:r w:rsidR="008125F0" w:rsidRPr="00FD4D01">
        <w:rPr>
          <w:rFonts w:ascii="Calibri" w:hAnsi="Calibri" w:cs="Calibri"/>
          <w:szCs w:val="24"/>
        </w:rPr>
        <w:t xml:space="preserve">This study adopts a </w:t>
      </w:r>
      <w:r w:rsidR="008125F0" w:rsidRPr="00FD4D01">
        <w:rPr>
          <w:rFonts w:ascii="Calibri" w:hAnsi="Calibri" w:cs="Calibri"/>
          <w:b/>
          <w:bCs/>
          <w:szCs w:val="24"/>
        </w:rPr>
        <w:t>qualitative doctrinal research methodology</w:t>
      </w:r>
      <w:r w:rsidR="008125F0" w:rsidRPr="00FD4D01">
        <w:rPr>
          <w:rFonts w:ascii="Calibri" w:hAnsi="Calibri" w:cs="Calibri"/>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7A650C88"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Research Design</w:t>
      </w:r>
    </w:p>
    <w:p w14:paraId="119EC5B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 xml:space="preserve">The research follows a </w:t>
      </w:r>
      <w:r w:rsidRPr="008125F0">
        <w:rPr>
          <w:rFonts w:ascii="Calibri" w:hAnsi="Calibri" w:cs="Calibri"/>
          <w:b/>
          <w:bCs/>
          <w:szCs w:val="24"/>
        </w:rPr>
        <w:t>descriptive and analytical design</w:t>
      </w:r>
      <w:r w:rsidRPr="008125F0">
        <w:rPr>
          <w:rFonts w:ascii="Calibri" w:hAnsi="Calibri" w:cs="Calibri"/>
          <w:szCs w:val="24"/>
        </w:rPr>
        <w:t xml:space="preserve">. The descriptive component outlines key consumer protection laws applicable to tourism, including regulations addressing unfair commercial practices, misleading advertising, package travel arrangements, service safety, and consumer redress mechanisms. The analytical component critically assesses how these laws function in practice to protect </w:t>
      </w:r>
      <w:proofErr w:type="spellStart"/>
      <w:r w:rsidRPr="008125F0">
        <w:rPr>
          <w:rFonts w:ascii="Calibri" w:hAnsi="Calibri" w:cs="Calibri"/>
          <w:szCs w:val="24"/>
        </w:rPr>
        <w:t>travelers</w:t>
      </w:r>
      <w:proofErr w:type="spellEnd"/>
      <w:r w:rsidRPr="008125F0">
        <w:rPr>
          <w:rFonts w:ascii="Calibri" w:hAnsi="Calibri" w:cs="Calibri"/>
          <w:szCs w:val="24"/>
        </w:rPr>
        <w:t xml:space="preserve"> and regulate the conduct of tourism service providers. This design allows the study to connect legal theory with practical regulatory outcomes in tourism markets.</w:t>
      </w:r>
    </w:p>
    <w:p w14:paraId="13134D7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Calibri" w:hAnsi="Calibri" w:cs="Calibri"/>
          <w:szCs w:val="24"/>
        </w:rPr>
        <w:t>is able to</w:t>
      </w:r>
      <w:proofErr w:type="gramEnd"/>
      <w:r w:rsidRPr="008125F0">
        <w:rPr>
          <w:rFonts w:ascii="Calibri" w:hAnsi="Calibri" w:cs="Calibri"/>
          <w:szCs w:val="24"/>
        </w:rPr>
        <w:t xml:space="preserve"> identify recurring legal issues and assess the effectiveness of existing consumer protection mechanisms in addressing tourist vulnerability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668F246B"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Sources of Data</w:t>
      </w:r>
    </w:p>
    <w:p w14:paraId="1C750F70"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study relies exclusively on </w:t>
      </w:r>
      <w:r w:rsidRPr="008125F0">
        <w:rPr>
          <w:rFonts w:ascii="Calibri" w:hAnsi="Calibri" w:cs="Calibri"/>
          <w:b/>
          <w:bCs/>
          <w:szCs w:val="24"/>
        </w:rPr>
        <w:t>secondary data sources</w:t>
      </w:r>
      <w:r w:rsidRPr="008125F0">
        <w:rPr>
          <w:rFonts w:ascii="Calibri" w:hAnsi="Calibri" w:cs="Calibri"/>
          <w:szCs w:val="24"/>
        </w:rPr>
        <w:t>, which are considered authoritative for doctrinal legal research. These sources include:</w:t>
      </w:r>
    </w:p>
    <w:p w14:paraId="51DE0B1C"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Peer-reviewed academic journal articles on consumer law and tourism regulation</w:t>
      </w:r>
    </w:p>
    <w:p w14:paraId="4E5D1FB1"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Scholarly books and edited volumes addressing consumer protection and tourism policy</w:t>
      </w:r>
    </w:p>
    <w:p w14:paraId="6595A011"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International and regional regulatory instruments governing tourism and consumer rights</w:t>
      </w:r>
    </w:p>
    <w:p w14:paraId="382A930E"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t>Reports and guidelines issued by organisations such as the OECD and UNWTO</w:t>
      </w:r>
    </w:p>
    <w:p w14:paraId="5458429F" w14:textId="77777777" w:rsidR="008125F0" w:rsidRPr="008125F0" w:rsidRDefault="008125F0" w:rsidP="008125F0">
      <w:pPr>
        <w:numPr>
          <w:ilvl w:val="0"/>
          <w:numId w:val="35"/>
        </w:numPr>
        <w:spacing w:line="480" w:lineRule="auto"/>
        <w:rPr>
          <w:rFonts w:ascii="Calibri" w:hAnsi="Calibri" w:cs="Calibri"/>
          <w:szCs w:val="24"/>
        </w:rPr>
      </w:pPr>
      <w:r w:rsidRPr="008125F0">
        <w:rPr>
          <w:rFonts w:ascii="Calibri" w:hAnsi="Calibri" w:cs="Calibri"/>
          <w:szCs w:val="24"/>
        </w:rPr>
        <w:lastRenderedPageBreak/>
        <w:t>Documented tourism dispute cases and regulatory enforcement examples</w:t>
      </w:r>
    </w:p>
    <w:p w14:paraId="5900B2FD"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These materials provide both theoretical perspectives and practical insights into how consumer protection laws are applied within tourism contexts. Emphasis is placed on contemporary sources that address digital tourism markets and evolving regulatory challenges (Sigala, 2018).</w:t>
      </w:r>
    </w:p>
    <w:p w14:paraId="0ADF7CF7"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Analytical Framework</w:t>
      </w:r>
    </w:p>
    <w:p w14:paraId="3AC9B62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Data were analysed using </w:t>
      </w:r>
      <w:r w:rsidRPr="008125F0">
        <w:rPr>
          <w:rFonts w:ascii="Calibri" w:hAnsi="Calibri" w:cs="Calibri"/>
          <w:b/>
          <w:bCs/>
          <w:szCs w:val="24"/>
        </w:rPr>
        <w:t>thematic legal analysis</w:t>
      </w:r>
      <w:r w:rsidRPr="008125F0">
        <w:rPr>
          <w:rFonts w:ascii="Calibri" w:hAnsi="Calibri" w:cs="Calibri"/>
          <w:szCs w:val="24"/>
        </w:rPr>
        <w:t xml:space="preserve">, a method that involves identifying and examining recurring legal themes across the literature. Key themes analysed in this study include </w:t>
      </w:r>
      <w:proofErr w:type="spellStart"/>
      <w:r w:rsidRPr="008125F0">
        <w:rPr>
          <w:rFonts w:ascii="Calibri" w:hAnsi="Calibri" w:cs="Calibri"/>
          <w:szCs w:val="24"/>
        </w:rPr>
        <w:t>traveler</w:t>
      </w:r>
      <w:proofErr w:type="spellEnd"/>
      <w:r w:rsidRPr="008125F0">
        <w:rPr>
          <w:rFonts w:ascii="Calibri" w:hAnsi="Calibri" w:cs="Calibri"/>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75E706D"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 </w:t>
      </w:r>
      <w:r w:rsidRPr="008125F0">
        <w:rPr>
          <w:rFonts w:ascii="Calibri" w:hAnsi="Calibri" w:cs="Calibri"/>
          <w:b/>
          <w:bCs/>
          <w:szCs w:val="24"/>
        </w:rPr>
        <w:t>comparative perspective</w:t>
      </w:r>
      <w:r w:rsidRPr="008125F0">
        <w:rPr>
          <w:rFonts w:ascii="Calibri" w:hAnsi="Calibri" w:cs="Calibri"/>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2D0BF983"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t>Ethical Considerations</w:t>
      </w:r>
    </w:p>
    <w:p w14:paraId="3F6FF05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44649DC3" w14:textId="77777777" w:rsidR="008125F0" w:rsidRPr="008125F0" w:rsidRDefault="008125F0" w:rsidP="008125F0">
      <w:pPr>
        <w:spacing w:line="480" w:lineRule="auto"/>
        <w:rPr>
          <w:rFonts w:ascii="Calibri" w:hAnsi="Calibri" w:cs="Calibri"/>
          <w:b/>
          <w:bCs/>
          <w:szCs w:val="24"/>
        </w:rPr>
      </w:pPr>
      <w:r w:rsidRPr="008125F0">
        <w:rPr>
          <w:rFonts w:ascii="Calibri" w:hAnsi="Calibri" w:cs="Calibri"/>
          <w:b/>
          <w:bCs/>
          <w:szCs w:val="24"/>
        </w:rPr>
        <w:lastRenderedPageBreak/>
        <w:t>Limitations of the Methodology</w:t>
      </w:r>
    </w:p>
    <w:p w14:paraId="63051F59"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Despite its strengths, this methodology has limitations. The reliance on secondary sources means that the study does not capture tourists’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56908D8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chosen methodology provides a rigorous framework for evaluating consumer protection laws in the tourism industry and supports a comprehensive analysis of </w:t>
      </w:r>
      <w:proofErr w:type="spellStart"/>
      <w:r w:rsidRPr="008125F0">
        <w:rPr>
          <w:rFonts w:ascii="Calibri" w:hAnsi="Calibri" w:cs="Calibri"/>
          <w:szCs w:val="24"/>
        </w:rPr>
        <w:t>travelers’</w:t>
      </w:r>
      <w:proofErr w:type="spellEnd"/>
      <w:r w:rsidRPr="008125F0">
        <w:rPr>
          <w:rFonts w:ascii="Calibri" w:hAnsi="Calibri" w:cs="Calibri"/>
          <w:szCs w:val="24"/>
        </w:rPr>
        <w:t xml:space="preserve"> rights and provider obligations.</w:t>
      </w:r>
    </w:p>
    <w:p w14:paraId="609B0C5C" w14:textId="02930323" w:rsidR="0033247F" w:rsidRPr="00FD4D01" w:rsidRDefault="0033247F" w:rsidP="003A5BF6">
      <w:pPr>
        <w:spacing w:line="480" w:lineRule="auto"/>
        <w:rPr>
          <w:rStyle w:val="Heading1Char"/>
          <w:rFonts w:ascii="Calibri" w:hAnsi="Calibri" w:cs="Calibri"/>
          <w:b/>
          <w:bCs/>
          <w:color w:val="auto"/>
          <w:sz w:val="24"/>
          <w:szCs w:val="24"/>
        </w:rPr>
      </w:pPr>
    </w:p>
    <w:p w14:paraId="258695B1" w14:textId="77777777" w:rsidR="008125F0" w:rsidRPr="00FD4D01" w:rsidRDefault="008125F0" w:rsidP="003A5BF6">
      <w:pPr>
        <w:spacing w:line="480" w:lineRule="auto"/>
        <w:rPr>
          <w:rStyle w:val="Heading1Char"/>
          <w:rFonts w:ascii="Calibri" w:hAnsi="Calibri" w:cs="Calibri"/>
          <w:b/>
          <w:bCs/>
          <w:color w:val="auto"/>
          <w:sz w:val="24"/>
          <w:szCs w:val="24"/>
        </w:rPr>
      </w:pPr>
    </w:p>
    <w:p w14:paraId="2F744928" w14:textId="77777777" w:rsidR="0033247F" w:rsidRPr="00FD4D01" w:rsidRDefault="0033247F" w:rsidP="003A5BF6">
      <w:pPr>
        <w:spacing w:line="480" w:lineRule="auto"/>
        <w:rPr>
          <w:rStyle w:val="Heading1Char"/>
          <w:rFonts w:ascii="Calibri" w:hAnsi="Calibri" w:cs="Calibri"/>
          <w:b/>
          <w:bCs/>
          <w:color w:val="auto"/>
          <w:sz w:val="24"/>
          <w:szCs w:val="24"/>
        </w:rPr>
      </w:pPr>
    </w:p>
    <w:p w14:paraId="42BBF498" w14:textId="77777777" w:rsidR="00D92241" w:rsidRPr="00FD4D01" w:rsidRDefault="00D92241" w:rsidP="003A5BF6">
      <w:pPr>
        <w:spacing w:line="480" w:lineRule="auto"/>
        <w:rPr>
          <w:rStyle w:val="Heading1Char"/>
          <w:rFonts w:ascii="Calibri" w:hAnsi="Calibri" w:cs="Calibri"/>
          <w:b/>
          <w:bCs/>
          <w:color w:val="auto"/>
          <w:sz w:val="24"/>
          <w:szCs w:val="24"/>
        </w:rPr>
      </w:pPr>
    </w:p>
    <w:p w14:paraId="7829A4C3" w14:textId="77777777" w:rsidR="00D92241" w:rsidRPr="00FD4D01" w:rsidRDefault="00D92241" w:rsidP="003A5BF6">
      <w:pPr>
        <w:spacing w:line="480" w:lineRule="auto"/>
        <w:rPr>
          <w:rStyle w:val="Heading1Char"/>
          <w:rFonts w:ascii="Calibri" w:hAnsi="Calibri" w:cs="Calibri"/>
          <w:b/>
          <w:bCs/>
          <w:color w:val="auto"/>
          <w:sz w:val="24"/>
          <w:szCs w:val="24"/>
        </w:rPr>
      </w:pPr>
    </w:p>
    <w:p w14:paraId="2E596AEC" w14:textId="77777777" w:rsidR="00D92241" w:rsidRPr="00FD4D01" w:rsidRDefault="00D92241" w:rsidP="003A5BF6">
      <w:pPr>
        <w:spacing w:line="480" w:lineRule="auto"/>
        <w:rPr>
          <w:rStyle w:val="Heading1Char"/>
          <w:rFonts w:ascii="Calibri" w:hAnsi="Calibri" w:cs="Calibri"/>
          <w:b/>
          <w:bCs/>
          <w:color w:val="auto"/>
          <w:sz w:val="24"/>
          <w:szCs w:val="24"/>
        </w:rPr>
      </w:pPr>
    </w:p>
    <w:p w14:paraId="0A4288D5" w14:textId="77777777" w:rsidR="0033247F" w:rsidRPr="00FD4D01" w:rsidRDefault="0033247F" w:rsidP="003A5BF6">
      <w:pPr>
        <w:spacing w:line="480" w:lineRule="auto"/>
        <w:rPr>
          <w:rStyle w:val="Heading1Char"/>
          <w:rFonts w:ascii="Calibri" w:hAnsi="Calibri" w:cs="Calibri"/>
          <w:b/>
          <w:bCs/>
          <w:color w:val="auto"/>
          <w:sz w:val="24"/>
          <w:szCs w:val="24"/>
        </w:rPr>
      </w:pPr>
    </w:p>
    <w:p w14:paraId="273E8125" w14:textId="77777777" w:rsidR="0033247F" w:rsidRPr="00FD4D01" w:rsidRDefault="0033247F" w:rsidP="003A5BF6">
      <w:pPr>
        <w:spacing w:line="480" w:lineRule="auto"/>
        <w:rPr>
          <w:rStyle w:val="Heading1Char"/>
          <w:rFonts w:ascii="Calibri" w:hAnsi="Calibri" w:cs="Calibri"/>
          <w:b/>
          <w:bCs/>
          <w:color w:val="auto"/>
          <w:sz w:val="24"/>
          <w:szCs w:val="24"/>
        </w:rPr>
      </w:pPr>
    </w:p>
    <w:p w14:paraId="2B1EBA3D" w14:textId="77777777" w:rsidR="0033247F" w:rsidRPr="00FD4D01" w:rsidRDefault="0033247F" w:rsidP="003A5BF6">
      <w:pPr>
        <w:spacing w:line="480" w:lineRule="auto"/>
        <w:rPr>
          <w:rStyle w:val="Heading1Char"/>
          <w:rFonts w:ascii="Calibri" w:hAnsi="Calibri" w:cs="Calibri"/>
          <w:b/>
          <w:bCs/>
          <w:color w:val="auto"/>
          <w:sz w:val="24"/>
          <w:szCs w:val="24"/>
        </w:rPr>
      </w:pPr>
    </w:p>
    <w:p w14:paraId="33BFA5F9" w14:textId="66A174C3" w:rsidR="00C82410" w:rsidRPr="00FD4D01" w:rsidRDefault="00A433D7" w:rsidP="00AB5112">
      <w:pPr>
        <w:spacing w:line="480" w:lineRule="auto"/>
        <w:rPr>
          <w:rStyle w:val="Heading1Char"/>
          <w:rFonts w:ascii="Calibri" w:hAnsi="Calibri" w:cs="Calibri"/>
          <w:b/>
          <w:bCs/>
          <w:color w:val="auto"/>
          <w:sz w:val="24"/>
          <w:szCs w:val="24"/>
        </w:rPr>
      </w:pPr>
      <w:bookmarkStart w:id="4" w:name="_Toc221201958"/>
      <w:r w:rsidRPr="00FD4D01">
        <w:rPr>
          <w:rStyle w:val="Heading1Char"/>
          <w:rFonts w:ascii="Calibri" w:hAnsi="Calibri" w:cs="Calibri"/>
          <w:b/>
          <w:bCs/>
          <w:color w:val="auto"/>
          <w:sz w:val="24"/>
          <w:szCs w:val="24"/>
        </w:rPr>
        <w:lastRenderedPageBreak/>
        <w:t>4</w:t>
      </w:r>
      <w:r w:rsidR="00582227" w:rsidRPr="00FD4D01">
        <w:rPr>
          <w:rStyle w:val="Heading1Char"/>
          <w:rFonts w:ascii="Calibri" w:hAnsi="Calibri" w:cs="Calibri"/>
          <w:b/>
          <w:bCs/>
          <w:color w:val="auto"/>
          <w:sz w:val="24"/>
          <w:szCs w:val="24"/>
        </w:rPr>
        <w:t xml:space="preserve"> </w:t>
      </w:r>
      <w:r w:rsidR="00160E9C" w:rsidRPr="00FD4D01">
        <w:rPr>
          <w:rStyle w:val="Heading1Char"/>
          <w:rFonts w:ascii="Calibri" w:hAnsi="Calibri" w:cs="Calibri"/>
          <w:b/>
          <w:bCs/>
          <w:color w:val="auto"/>
          <w:sz w:val="24"/>
          <w:szCs w:val="24"/>
        </w:rPr>
        <w:t>Finding</w:t>
      </w:r>
      <w:bookmarkEnd w:id="4"/>
    </w:p>
    <w:p w14:paraId="643B0E2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 analysis of legislative frameworks, policy documents, and academic literature reveals that consumer protection laws play a fundamental role in addressing the unique vulnerabilities faced by tourists. One of the most prominent findings is that tourism consumers are structurally disadvantaged due to advance payment requirements, reliance on promotional information, and limited bargaining power. Consumer protection laws directly address these vulnerabilities by imposing mandatory obligations on tourism service providers that cannot be excluded through contractual terms (Howells et al., 2018).</w:t>
      </w:r>
    </w:p>
    <w:p w14:paraId="489B05E6"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 significant finding concerns the </w:t>
      </w:r>
      <w:r w:rsidRPr="008125F0">
        <w:rPr>
          <w:rFonts w:ascii="Calibri" w:hAnsi="Calibri" w:cs="Calibri"/>
          <w:b/>
          <w:bCs/>
          <w:szCs w:val="24"/>
        </w:rPr>
        <w:t xml:space="preserve">strengthening of </w:t>
      </w:r>
      <w:proofErr w:type="spellStart"/>
      <w:r w:rsidRPr="008125F0">
        <w:rPr>
          <w:rFonts w:ascii="Calibri" w:hAnsi="Calibri" w:cs="Calibri"/>
          <w:b/>
          <w:bCs/>
          <w:szCs w:val="24"/>
        </w:rPr>
        <w:t>travelers’</w:t>
      </w:r>
      <w:proofErr w:type="spellEnd"/>
      <w:r w:rsidRPr="008125F0">
        <w:rPr>
          <w:rFonts w:ascii="Calibri" w:hAnsi="Calibri" w:cs="Calibri"/>
          <w:b/>
          <w:bCs/>
          <w:szCs w:val="24"/>
        </w:rPr>
        <w:t xml:space="preserve"> rights through statutory protection</w:t>
      </w:r>
      <w:r w:rsidRPr="008125F0">
        <w:rPr>
          <w:rFonts w:ascii="Calibri" w:hAnsi="Calibri" w:cs="Calibri"/>
          <w:szCs w:val="24"/>
        </w:rPr>
        <w:t xml:space="preserve">. Consumer protection legislation ensures that tourists have enforceable rights to clear and accurate information, transparent pricing, and fair contractual conditions. These rights are particularly important in tourism markets, where consumers often commit financially before experiencing the service. The analysis shows that statutory protections frequently override unfair contractual clauses, thereby correcting power imbalances between </w:t>
      </w:r>
      <w:proofErr w:type="spellStart"/>
      <w:r w:rsidRPr="008125F0">
        <w:rPr>
          <w:rFonts w:ascii="Calibri" w:hAnsi="Calibri" w:cs="Calibri"/>
          <w:szCs w:val="24"/>
        </w:rPr>
        <w:t>travelers</w:t>
      </w:r>
      <w:proofErr w:type="spellEnd"/>
      <w:r w:rsidRPr="008125F0">
        <w:rPr>
          <w:rFonts w:ascii="Calibri" w:hAnsi="Calibri" w:cs="Calibri"/>
          <w:szCs w:val="24"/>
        </w:rPr>
        <w:t xml:space="preserve"> and tourism businesses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7E3E1B9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Another key finding relates to the regulation of </w:t>
      </w:r>
      <w:r w:rsidRPr="008125F0">
        <w:rPr>
          <w:rFonts w:ascii="Calibri" w:hAnsi="Calibri" w:cs="Calibri"/>
          <w:b/>
          <w:bCs/>
          <w:szCs w:val="24"/>
        </w:rPr>
        <w:t>misleading advertising and deceptive pricing practices</w:t>
      </w:r>
      <w:r w:rsidRPr="008125F0">
        <w:rPr>
          <w:rFonts w:ascii="Calibri" w:hAnsi="Calibri" w:cs="Calibri"/>
          <w:szCs w:val="24"/>
        </w:rPr>
        <w:t xml:space="preserve">. The literature consistently identifies misleading representations, hidden charges, and unclear cancellation policies as major sources of consumer complaints in tourism. Consumer protection laws increasingly classify misleading omissions—such as failure to disclose additional fees or service limitations—as unlawful practices. This approach reflects a regulatory shift </w:t>
      </w:r>
      <w:r w:rsidRPr="008125F0">
        <w:rPr>
          <w:rFonts w:ascii="Calibri" w:hAnsi="Calibri" w:cs="Calibri"/>
          <w:szCs w:val="24"/>
        </w:rPr>
        <w:lastRenderedPageBreak/>
        <w:t>toward prioritising transparency and informed consumer choice, particularly in online booking environments (Santos &amp; Basso, 2019).</w:t>
      </w:r>
    </w:p>
    <w:p w14:paraId="2FB4BA2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findings also highlight the importance of </w:t>
      </w:r>
      <w:r w:rsidRPr="008125F0">
        <w:rPr>
          <w:rFonts w:ascii="Calibri" w:hAnsi="Calibri" w:cs="Calibri"/>
          <w:b/>
          <w:bCs/>
          <w:szCs w:val="24"/>
        </w:rPr>
        <w:t>package travel regulation</w:t>
      </w:r>
      <w:r w:rsidRPr="008125F0">
        <w:rPr>
          <w:rFonts w:ascii="Calibri" w:hAnsi="Calibri" w:cs="Calibri"/>
          <w:szCs w:val="24"/>
        </w:rPr>
        <w:t xml:space="preserve"> in enhancing consumer protection. Package travel frameworks simplify complex travel arrangements by assigning responsibility to a single organiser for the overall performance of the travel package. This significantly reduces legal uncertainty for consumers, who might otherwise be required to pursue claims against multiple suppliers across different jurisdictions. Evidence from policy guidance suggests that such frameworks have improved access to refunds, compensation, and assistance during travel disruptions (Lohmann &amp; Netto, 2016).</w:t>
      </w:r>
    </w:p>
    <w:p w14:paraId="43557B3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Safety and service quality standards emerge as another critical dimension of consumer protection in tourism. Tourism services frequently involve transportation, accommodation, and recreational activities that carry inherent risks. The analysis reveals that consumer protection laws complement sector-specific safety regulations by imposing minimum standards of care and quality that cannot be waived by contract. This has been particularly relevant in emerging tourism models, such as peer-to-peer accommodation and adventure tourism, where regulatory oversight has struggled to keep pace with innovation (</w:t>
      </w:r>
      <w:proofErr w:type="spellStart"/>
      <w:r w:rsidRPr="008125F0">
        <w:rPr>
          <w:rFonts w:ascii="Calibri" w:hAnsi="Calibri" w:cs="Calibri"/>
          <w:szCs w:val="24"/>
        </w:rPr>
        <w:t>Pizam</w:t>
      </w:r>
      <w:proofErr w:type="spellEnd"/>
      <w:r w:rsidRPr="008125F0">
        <w:rPr>
          <w:rFonts w:ascii="Calibri" w:hAnsi="Calibri" w:cs="Calibri"/>
          <w:szCs w:val="24"/>
        </w:rPr>
        <w:t xml:space="preserve"> &amp; Mansfeld, 2016).</w:t>
      </w:r>
    </w:p>
    <w:p w14:paraId="41642CFE"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findings further indicate that consumer protection laws impose </w:t>
      </w:r>
      <w:r w:rsidRPr="008125F0">
        <w:rPr>
          <w:rFonts w:ascii="Calibri" w:hAnsi="Calibri" w:cs="Calibri"/>
          <w:b/>
          <w:bCs/>
          <w:szCs w:val="24"/>
        </w:rPr>
        <w:t>expanded compliance responsibilities on tourism service providers</w:t>
      </w:r>
      <w:r w:rsidRPr="008125F0">
        <w:rPr>
          <w:rFonts w:ascii="Calibri" w:hAnsi="Calibri" w:cs="Calibri"/>
          <w:szCs w:val="24"/>
        </w:rPr>
        <w:t xml:space="preserve">. Businesses are required to ensure truthful marketing, fair pricing practices, transparent contractual terms, and accessible complaint-handling mechanisms. Failure to comply with these obligations may result in regulatory sanctions, compensation orders, and reputational damage. This deterrent effect encourages </w:t>
      </w:r>
      <w:r w:rsidRPr="008125F0">
        <w:rPr>
          <w:rFonts w:ascii="Calibri" w:hAnsi="Calibri" w:cs="Calibri"/>
          <w:szCs w:val="24"/>
        </w:rPr>
        <w:lastRenderedPageBreak/>
        <w:t>ethical conduct and contributes to improved service standards across the tourism sector (OECD, 2020).</w:t>
      </w:r>
    </w:p>
    <w:p w14:paraId="3B1EE17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Finally, the analysis identifies the growing significance of </w:t>
      </w:r>
      <w:r w:rsidRPr="008125F0">
        <w:rPr>
          <w:rFonts w:ascii="Calibri" w:hAnsi="Calibri" w:cs="Calibri"/>
          <w:b/>
          <w:bCs/>
          <w:szCs w:val="24"/>
        </w:rPr>
        <w:t>consumer redress mechanisms</w:t>
      </w:r>
      <w:r w:rsidRPr="008125F0">
        <w:rPr>
          <w:rFonts w:ascii="Calibri" w:hAnsi="Calibri" w:cs="Calibri"/>
          <w:szCs w:val="24"/>
        </w:rPr>
        <w:t xml:space="preserve">, including alternative dispute resolution (ADR). ADR mechanisms are widely promoted as efficient and cost-effective means of resolving tourism disputes, particularly in cross-border contexts. However, the findings also reveal concerns regarding accessibility, consumer awareness, and procedural fairness. Mandatory ADR clauses may disadvantage </w:t>
      </w:r>
      <w:proofErr w:type="spellStart"/>
      <w:r w:rsidRPr="008125F0">
        <w:rPr>
          <w:rFonts w:ascii="Calibri" w:hAnsi="Calibri" w:cs="Calibri"/>
          <w:szCs w:val="24"/>
        </w:rPr>
        <w:t>travelers</w:t>
      </w:r>
      <w:proofErr w:type="spellEnd"/>
      <w:r w:rsidRPr="008125F0">
        <w:rPr>
          <w:rFonts w:ascii="Calibri" w:hAnsi="Calibri" w:cs="Calibri"/>
          <w:szCs w:val="24"/>
        </w:rPr>
        <w:t xml:space="preserve"> if they restrict access to judicial remedies or impose unfamiliar procedures (Spencer, 2020).</w:t>
      </w:r>
    </w:p>
    <w:p w14:paraId="2ABC803A"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findings confirm that consumer protection laws are essential in mitigating the risks inherent in tourism transactions. By enhancing transparency, enforcing safety standards, and providing effective remedies, these laws strengthen </w:t>
      </w:r>
      <w:proofErr w:type="spellStart"/>
      <w:r w:rsidRPr="008125F0">
        <w:rPr>
          <w:rFonts w:ascii="Calibri" w:hAnsi="Calibri" w:cs="Calibri"/>
          <w:szCs w:val="24"/>
        </w:rPr>
        <w:t>traveler</w:t>
      </w:r>
      <w:proofErr w:type="spellEnd"/>
      <w:r w:rsidRPr="008125F0">
        <w:rPr>
          <w:rFonts w:ascii="Calibri" w:hAnsi="Calibri" w:cs="Calibri"/>
          <w:szCs w:val="24"/>
        </w:rPr>
        <w:t xml:space="preserve"> confidence and contribute to the integrity and sustainability of the tourism industry.</w:t>
      </w:r>
    </w:p>
    <w:p w14:paraId="62699313" w14:textId="77777777" w:rsidR="0033247F" w:rsidRPr="00FD4D01" w:rsidRDefault="0033247F" w:rsidP="008C18CC">
      <w:pPr>
        <w:spacing w:line="480" w:lineRule="auto"/>
        <w:rPr>
          <w:rStyle w:val="Heading1Char"/>
          <w:rFonts w:ascii="Calibri" w:hAnsi="Calibri" w:cs="Calibri"/>
          <w:b/>
          <w:bCs/>
          <w:color w:val="auto"/>
          <w:sz w:val="24"/>
          <w:szCs w:val="24"/>
        </w:rPr>
      </w:pPr>
    </w:p>
    <w:p w14:paraId="7741BD77" w14:textId="77777777" w:rsidR="008125F0" w:rsidRPr="00FD4D01" w:rsidRDefault="008125F0" w:rsidP="008C18CC">
      <w:pPr>
        <w:spacing w:line="480" w:lineRule="auto"/>
        <w:rPr>
          <w:rStyle w:val="Heading1Char"/>
          <w:rFonts w:ascii="Calibri" w:hAnsi="Calibri" w:cs="Calibri"/>
          <w:b/>
          <w:bCs/>
          <w:color w:val="auto"/>
          <w:sz w:val="24"/>
          <w:szCs w:val="24"/>
        </w:rPr>
      </w:pPr>
    </w:p>
    <w:p w14:paraId="34F032B3" w14:textId="77777777" w:rsidR="008125F0" w:rsidRPr="00FD4D01" w:rsidRDefault="008125F0" w:rsidP="008C18CC">
      <w:pPr>
        <w:spacing w:line="480" w:lineRule="auto"/>
        <w:rPr>
          <w:rStyle w:val="Heading1Char"/>
          <w:rFonts w:ascii="Calibri" w:hAnsi="Calibri" w:cs="Calibri"/>
          <w:b/>
          <w:bCs/>
          <w:color w:val="auto"/>
          <w:sz w:val="24"/>
          <w:szCs w:val="24"/>
        </w:rPr>
      </w:pPr>
    </w:p>
    <w:p w14:paraId="2918CFA9" w14:textId="77777777" w:rsidR="0033247F" w:rsidRPr="00FD4D01" w:rsidRDefault="0033247F" w:rsidP="008C18CC">
      <w:pPr>
        <w:spacing w:line="480" w:lineRule="auto"/>
        <w:rPr>
          <w:rStyle w:val="Heading1Char"/>
          <w:rFonts w:ascii="Calibri" w:hAnsi="Calibri" w:cs="Calibri"/>
          <w:b/>
          <w:bCs/>
          <w:color w:val="auto"/>
          <w:sz w:val="24"/>
          <w:szCs w:val="24"/>
        </w:rPr>
      </w:pPr>
    </w:p>
    <w:p w14:paraId="27070575" w14:textId="77777777" w:rsidR="0033247F" w:rsidRPr="00FD4D01" w:rsidRDefault="0033247F" w:rsidP="008C18CC">
      <w:pPr>
        <w:spacing w:line="480" w:lineRule="auto"/>
        <w:rPr>
          <w:rStyle w:val="Heading1Char"/>
          <w:rFonts w:ascii="Calibri" w:hAnsi="Calibri" w:cs="Calibri"/>
          <w:b/>
          <w:bCs/>
          <w:color w:val="auto"/>
          <w:sz w:val="24"/>
          <w:szCs w:val="24"/>
        </w:rPr>
      </w:pPr>
    </w:p>
    <w:p w14:paraId="0193BA4E" w14:textId="77777777" w:rsidR="0033247F" w:rsidRPr="00FD4D01" w:rsidRDefault="0033247F" w:rsidP="008C18CC">
      <w:pPr>
        <w:spacing w:line="480" w:lineRule="auto"/>
        <w:rPr>
          <w:rStyle w:val="Heading1Char"/>
          <w:rFonts w:ascii="Calibri" w:hAnsi="Calibri" w:cs="Calibri"/>
          <w:b/>
          <w:bCs/>
          <w:color w:val="auto"/>
          <w:sz w:val="24"/>
          <w:szCs w:val="24"/>
        </w:rPr>
      </w:pPr>
    </w:p>
    <w:p w14:paraId="2667AE76" w14:textId="77777777" w:rsidR="0033247F" w:rsidRPr="00FD4D01" w:rsidRDefault="0033247F" w:rsidP="008C18CC">
      <w:pPr>
        <w:spacing w:line="480" w:lineRule="auto"/>
        <w:rPr>
          <w:rStyle w:val="Heading1Char"/>
          <w:rFonts w:ascii="Calibri" w:hAnsi="Calibri" w:cs="Calibri"/>
          <w:b/>
          <w:bCs/>
          <w:color w:val="auto"/>
          <w:sz w:val="24"/>
          <w:szCs w:val="24"/>
        </w:rPr>
      </w:pPr>
    </w:p>
    <w:p w14:paraId="7D99FD8C" w14:textId="77777777" w:rsidR="0033247F" w:rsidRPr="00FD4D01" w:rsidRDefault="0033247F" w:rsidP="008C18CC">
      <w:pPr>
        <w:spacing w:line="480" w:lineRule="auto"/>
        <w:rPr>
          <w:rStyle w:val="Heading1Char"/>
          <w:rFonts w:ascii="Calibri" w:hAnsi="Calibri" w:cs="Calibri"/>
          <w:b/>
          <w:bCs/>
          <w:color w:val="auto"/>
          <w:sz w:val="24"/>
          <w:szCs w:val="24"/>
        </w:rPr>
      </w:pPr>
    </w:p>
    <w:p w14:paraId="38B863FC" w14:textId="77777777" w:rsidR="00D92241" w:rsidRPr="00FD4D01" w:rsidRDefault="00D92241" w:rsidP="008C18CC">
      <w:pPr>
        <w:spacing w:line="480" w:lineRule="auto"/>
        <w:rPr>
          <w:rStyle w:val="Heading1Char"/>
          <w:rFonts w:ascii="Calibri" w:hAnsi="Calibri" w:cs="Calibri"/>
          <w:b/>
          <w:bCs/>
          <w:color w:val="auto"/>
          <w:sz w:val="24"/>
          <w:szCs w:val="24"/>
        </w:rPr>
      </w:pPr>
    </w:p>
    <w:p w14:paraId="02D8179D" w14:textId="77777777" w:rsidR="00D92241" w:rsidRPr="00FD4D01" w:rsidRDefault="00D92241" w:rsidP="008C18CC">
      <w:pPr>
        <w:spacing w:line="480" w:lineRule="auto"/>
        <w:rPr>
          <w:rStyle w:val="Heading1Char"/>
          <w:rFonts w:ascii="Calibri" w:hAnsi="Calibri" w:cs="Calibri"/>
          <w:b/>
          <w:bCs/>
          <w:color w:val="auto"/>
          <w:sz w:val="24"/>
          <w:szCs w:val="24"/>
        </w:rPr>
      </w:pPr>
    </w:p>
    <w:p w14:paraId="0F29B04B" w14:textId="77777777" w:rsidR="0033247F" w:rsidRPr="00FD4D01" w:rsidRDefault="0033247F" w:rsidP="008C18CC">
      <w:pPr>
        <w:spacing w:line="480" w:lineRule="auto"/>
        <w:rPr>
          <w:rStyle w:val="Heading1Char"/>
          <w:rFonts w:ascii="Calibri" w:hAnsi="Calibri" w:cs="Calibri"/>
          <w:b/>
          <w:bCs/>
          <w:color w:val="auto"/>
          <w:sz w:val="24"/>
          <w:szCs w:val="24"/>
        </w:rPr>
      </w:pPr>
    </w:p>
    <w:p w14:paraId="049E7AB9" w14:textId="77777777" w:rsidR="003A5BF6" w:rsidRPr="00FD4D01" w:rsidRDefault="003A5BF6" w:rsidP="008C18CC">
      <w:pPr>
        <w:spacing w:line="480" w:lineRule="auto"/>
        <w:rPr>
          <w:rStyle w:val="Heading1Char"/>
          <w:rFonts w:ascii="Calibri" w:hAnsi="Calibri" w:cs="Calibri"/>
          <w:b/>
          <w:bCs/>
          <w:color w:val="auto"/>
          <w:sz w:val="24"/>
          <w:szCs w:val="24"/>
        </w:rPr>
      </w:pPr>
    </w:p>
    <w:p w14:paraId="0CD9F296" w14:textId="77777777" w:rsidR="00763D1C" w:rsidRPr="00FD4D01" w:rsidRDefault="00763D1C" w:rsidP="008C18CC">
      <w:pPr>
        <w:spacing w:line="480" w:lineRule="auto"/>
        <w:rPr>
          <w:rStyle w:val="Heading1Char"/>
          <w:rFonts w:ascii="Calibri" w:hAnsi="Calibri" w:cs="Calibri"/>
          <w:b/>
          <w:bCs/>
          <w:color w:val="auto"/>
          <w:sz w:val="24"/>
          <w:szCs w:val="24"/>
        </w:rPr>
      </w:pPr>
    </w:p>
    <w:p w14:paraId="197834E8" w14:textId="77777777" w:rsidR="008125F0" w:rsidRPr="00FD4D01" w:rsidRDefault="00496E55" w:rsidP="008125F0">
      <w:pPr>
        <w:spacing w:line="480" w:lineRule="auto"/>
        <w:rPr>
          <w:rFonts w:ascii="Calibri" w:hAnsi="Calibri" w:cs="Calibri"/>
          <w:szCs w:val="24"/>
        </w:rPr>
      </w:pPr>
      <w:bookmarkStart w:id="5" w:name="_Toc221201959"/>
      <w:r w:rsidRPr="00FD4D01">
        <w:rPr>
          <w:rStyle w:val="Heading1Char"/>
          <w:rFonts w:ascii="Calibri" w:hAnsi="Calibri" w:cs="Calibri"/>
          <w:b/>
          <w:bCs/>
          <w:color w:val="auto"/>
          <w:sz w:val="24"/>
          <w:szCs w:val="24"/>
        </w:rPr>
        <w:t>5</w:t>
      </w:r>
      <w:r w:rsidR="00F11085" w:rsidRPr="00FD4D01">
        <w:rPr>
          <w:rStyle w:val="Heading1Char"/>
          <w:rFonts w:ascii="Calibri" w:hAnsi="Calibri" w:cs="Calibri"/>
          <w:b/>
          <w:bCs/>
          <w:color w:val="auto"/>
          <w:sz w:val="24"/>
          <w:szCs w:val="24"/>
        </w:rPr>
        <w:t>. Discussion</w:t>
      </w:r>
      <w:bookmarkEnd w:id="5"/>
      <w:r w:rsidR="00F11085" w:rsidRPr="00FD4D01">
        <w:rPr>
          <w:rFonts w:ascii="Calibri" w:hAnsi="Calibri" w:cs="Calibri"/>
          <w:szCs w:val="24"/>
        </w:rPr>
        <w:t xml:space="preserve"> </w:t>
      </w:r>
      <w:r w:rsidR="00F11085" w:rsidRPr="00FD4D01">
        <w:rPr>
          <w:rFonts w:ascii="Calibri" w:hAnsi="Calibri" w:cs="Calibri"/>
          <w:szCs w:val="24"/>
        </w:rPr>
        <w:br/>
      </w:r>
      <w:r w:rsidR="008125F0" w:rsidRPr="00FD4D01">
        <w:rPr>
          <w:rFonts w:ascii="Calibri" w:hAnsi="Calibri" w:cs="Calibri"/>
          <w:szCs w:val="24"/>
        </w:rP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and tourism service providers.</w:t>
      </w:r>
    </w:p>
    <w:p w14:paraId="3392622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w:t>
      </w:r>
      <w:r w:rsidRPr="008125F0">
        <w:rPr>
          <w:rFonts w:ascii="Calibri" w:hAnsi="Calibri" w:cs="Calibri"/>
          <w:szCs w:val="24"/>
        </w:rPr>
        <w:lastRenderedPageBreak/>
        <w:t>recognition that informed consumer choice cannot exist without clear and accurate information (Santos &amp; Basso, 2019). Consumer protection laws therefore play a crucial role in shifting responsibility onto tourism businesses to disclose material information proactively.</w:t>
      </w:r>
    </w:p>
    <w:p w14:paraId="11CB4829"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Calibri" w:hAnsi="Calibri" w:cs="Calibri"/>
          <w:szCs w:val="24"/>
        </w:rPr>
        <w:t>travelers</w:t>
      </w:r>
      <w:proofErr w:type="spellEnd"/>
      <w:r w:rsidRPr="008125F0">
        <w:rPr>
          <w:rFonts w:ascii="Calibri" w:hAnsi="Calibri" w:cs="Calibri"/>
          <w:szCs w:val="24"/>
        </w:rPr>
        <w:t xml:space="preserve"> to pursue claims against multiple suppliers. This approach aligns 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3E9BFAE7"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Calibri" w:hAnsi="Calibri" w:cs="Calibri"/>
          <w:szCs w:val="24"/>
        </w:rPr>
        <w:t>lag behind</w:t>
      </w:r>
      <w:proofErr w:type="gramEnd"/>
      <w:r w:rsidRPr="008125F0">
        <w:rPr>
          <w:rFonts w:ascii="Calibri" w:hAnsi="Calibri" w:cs="Calibri"/>
          <w:szCs w:val="24"/>
        </w:rPr>
        <w:t xml:space="preserve"> market innovation (</w:t>
      </w:r>
      <w:proofErr w:type="spellStart"/>
      <w:r w:rsidRPr="008125F0">
        <w:rPr>
          <w:rFonts w:ascii="Calibri" w:hAnsi="Calibri" w:cs="Calibri"/>
          <w:szCs w:val="24"/>
        </w:rPr>
        <w:t>Pizam</w:t>
      </w:r>
      <w:proofErr w:type="spellEnd"/>
      <w:r w:rsidRPr="008125F0">
        <w:rPr>
          <w:rFonts w:ascii="Calibri" w:hAnsi="Calibri" w:cs="Calibri"/>
          <w:szCs w:val="24"/>
        </w:rPr>
        <w:t xml:space="preserve"> &amp; Mansfeld, 2016). From a policy perspective, statutory safety obligations serve a preventive function, reducing the likelihood of harm before disputes arise.</w:t>
      </w:r>
    </w:p>
    <w:p w14:paraId="00F537A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 expanding compliance responsibilities imposed on tourism service providers reflect a shift toward proactive consumer protection. Businesses are increasingly required to implement internal compliance systems, monitor third-party suppliers, and maintain accessible complaint-</w:t>
      </w:r>
      <w:r w:rsidRPr="008125F0">
        <w:rPr>
          <w:rFonts w:ascii="Calibri" w:hAnsi="Calibri" w:cs="Calibri"/>
          <w:szCs w:val="24"/>
        </w:rPr>
        <w:lastRenderedPageBreak/>
        <w:t xml:space="preserve">handling mechanisms. While these obligations enhance accountability and ethical conduct, the discussion highlights </w:t>
      </w:r>
      <w:proofErr w:type="gramStart"/>
      <w:r w:rsidRPr="008125F0">
        <w:rPr>
          <w:rFonts w:ascii="Calibri" w:hAnsi="Calibri" w:cs="Calibri"/>
          <w:szCs w:val="24"/>
        </w:rPr>
        <w:t>concerns</w:t>
      </w:r>
      <w:proofErr w:type="gramEnd"/>
      <w:r w:rsidRPr="008125F0">
        <w:rPr>
          <w:rFonts w:ascii="Calibri" w:hAnsi="Calibri" w:cs="Calibri"/>
          <w:szCs w:val="24"/>
        </w:rPr>
        <w:t xml:space="preserve"> regarding uneven enforcement across jurisdictions. Inconsistent regulatory capacity may undermine consumer confidence, particularly in international tourism contexts, supporting calls for greater international coordination (</w:t>
      </w:r>
      <w:proofErr w:type="spellStart"/>
      <w:r w:rsidRPr="008125F0">
        <w:rPr>
          <w:rFonts w:ascii="Calibri" w:hAnsi="Calibri" w:cs="Calibri"/>
          <w:szCs w:val="24"/>
        </w:rPr>
        <w:t>Micklitz</w:t>
      </w:r>
      <w:proofErr w:type="spellEnd"/>
      <w:r w:rsidRPr="008125F0">
        <w:rPr>
          <w:rFonts w:ascii="Calibri" w:hAnsi="Calibri" w:cs="Calibri"/>
          <w:szCs w:val="24"/>
        </w:rPr>
        <w:t>, 2015).</w:t>
      </w:r>
    </w:p>
    <w:p w14:paraId="5A63C87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The growing reliance on alternative dispute resolution (ADR) mechanisms also warrants critical evaluation. Although ADR offers efficiency and cost-effectiveness, particularly in cross-border disputes, concerns remain regarding transparency, consumer awareness, and procedural fairness. Mandatory ADR clauses may disadvantage </w:t>
      </w:r>
      <w:proofErr w:type="spellStart"/>
      <w:r w:rsidRPr="008125F0">
        <w:rPr>
          <w:rFonts w:ascii="Calibri" w:hAnsi="Calibri" w:cs="Calibri"/>
          <w:szCs w:val="24"/>
        </w:rPr>
        <w:t>travelers</w:t>
      </w:r>
      <w:proofErr w:type="spellEnd"/>
      <w:r w:rsidRPr="008125F0">
        <w:rPr>
          <w:rFonts w:ascii="Calibri" w:hAnsi="Calibri" w:cs="Calibri"/>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410D96A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the discussion demonstrates that consumer protection laws function as both </w:t>
      </w:r>
      <w:r w:rsidRPr="008125F0">
        <w:rPr>
          <w:rFonts w:ascii="Calibri" w:hAnsi="Calibri" w:cs="Calibri"/>
          <w:b/>
          <w:bCs/>
          <w:szCs w:val="24"/>
        </w:rPr>
        <w:t>preventive and corrective mechanisms</w:t>
      </w:r>
      <w:r w:rsidRPr="008125F0">
        <w:rPr>
          <w:rFonts w:ascii="Calibri" w:hAnsi="Calibri" w:cs="Calibri"/>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Calibri" w:hAnsi="Calibri" w:cs="Calibri"/>
          <w:szCs w:val="24"/>
        </w:rPr>
        <w:t>traveler</w:t>
      </w:r>
      <w:proofErr w:type="spellEnd"/>
      <w:r w:rsidRPr="008125F0">
        <w:rPr>
          <w:rFonts w:ascii="Calibri" w:hAnsi="Calibri" w:cs="Calibri"/>
          <w:szCs w:val="24"/>
        </w:rPr>
        <w:t xml:space="preserve"> trust and sustainable tourism development.</w:t>
      </w:r>
    </w:p>
    <w:p w14:paraId="3007DCD9" w14:textId="415976C9" w:rsidR="00831A6D" w:rsidRPr="00FD4D01" w:rsidRDefault="00831A6D" w:rsidP="00831A6D">
      <w:pPr>
        <w:spacing w:line="480" w:lineRule="auto"/>
        <w:rPr>
          <w:rFonts w:ascii="Calibri" w:hAnsi="Calibri" w:cs="Calibri"/>
          <w:szCs w:val="24"/>
        </w:rPr>
      </w:pPr>
    </w:p>
    <w:p w14:paraId="65C04CBE" w14:textId="77777777" w:rsidR="008125F0" w:rsidRPr="00FD4D01" w:rsidRDefault="008125F0" w:rsidP="00831A6D">
      <w:pPr>
        <w:spacing w:line="480" w:lineRule="auto"/>
        <w:rPr>
          <w:rFonts w:ascii="Calibri" w:hAnsi="Calibri" w:cs="Calibri"/>
          <w:szCs w:val="24"/>
        </w:rPr>
      </w:pPr>
    </w:p>
    <w:p w14:paraId="2E34A646" w14:textId="77777777" w:rsidR="008125F0" w:rsidRPr="00FD4D01" w:rsidRDefault="008125F0" w:rsidP="00831A6D">
      <w:pPr>
        <w:spacing w:line="480" w:lineRule="auto"/>
        <w:rPr>
          <w:rFonts w:ascii="Calibri" w:hAnsi="Calibri" w:cs="Calibri"/>
          <w:szCs w:val="24"/>
        </w:rPr>
      </w:pPr>
    </w:p>
    <w:p w14:paraId="677A4F98" w14:textId="77777777" w:rsidR="008125F0" w:rsidRPr="00FD4D01" w:rsidRDefault="008125F0" w:rsidP="00831A6D">
      <w:pPr>
        <w:spacing w:line="480" w:lineRule="auto"/>
        <w:rPr>
          <w:rFonts w:ascii="Calibri" w:hAnsi="Calibri" w:cs="Calibri"/>
          <w:szCs w:val="24"/>
        </w:rPr>
      </w:pPr>
    </w:p>
    <w:p w14:paraId="3E136BAE" w14:textId="77777777" w:rsidR="008125F0" w:rsidRPr="00FD4D01" w:rsidRDefault="008125F0" w:rsidP="00831A6D">
      <w:pPr>
        <w:spacing w:line="480" w:lineRule="auto"/>
        <w:rPr>
          <w:rFonts w:ascii="Calibri" w:hAnsi="Calibri" w:cs="Calibri"/>
          <w:szCs w:val="24"/>
        </w:rPr>
      </w:pPr>
    </w:p>
    <w:p w14:paraId="287676B2" w14:textId="77777777" w:rsidR="008125F0" w:rsidRPr="00FD4D01" w:rsidRDefault="008125F0" w:rsidP="00831A6D">
      <w:pPr>
        <w:spacing w:line="480" w:lineRule="auto"/>
        <w:rPr>
          <w:rFonts w:ascii="Calibri" w:hAnsi="Calibri" w:cs="Calibri"/>
          <w:szCs w:val="24"/>
        </w:rPr>
      </w:pPr>
    </w:p>
    <w:p w14:paraId="1A1BDF10" w14:textId="77777777" w:rsidR="008125F0" w:rsidRPr="00FD4D01" w:rsidRDefault="008125F0" w:rsidP="00831A6D">
      <w:pPr>
        <w:spacing w:line="480" w:lineRule="auto"/>
        <w:rPr>
          <w:rFonts w:ascii="Calibri" w:hAnsi="Calibri" w:cs="Calibri"/>
          <w:szCs w:val="24"/>
        </w:rPr>
      </w:pPr>
    </w:p>
    <w:p w14:paraId="261C0306" w14:textId="77777777" w:rsidR="008125F0" w:rsidRPr="00FD4D01" w:rsidRDefault="008125F0" w:rsidP="00831A6D">
      <w:pPr>
        <w:spacing w:line="480" w:lineRule="auto"/>
        <w:rPr>
          <w:rFonts w:ascii="Calibri" w:hAnsi="Calibri" w:cs="Calibri"/>
          <w:szCs w:val="24"/>
        </w:rPr>
      </w:pPr>
    </w:p>
    <w:p w14:paraId="4FDE96B4" w14:textId="77777777" w:rsidR="008125F0" w:rsidRPr="00FD4D01" w:rsidRDefault="008125F0" w:rsidP="00831A6D">
      <w:pPr>
        <w:spacing w:line="480" w:lineRule="auto"/>
        <w:rPr>
          <w:rFonts w:ascii="Calibri" w:hAnsi="Calibri" w:cs="Calibri"/>
          <w:szCs w:val="24"/>
        </w:rPr>
      </w:pPr>
    </w:p>
    <w:p w14:paraId="591B96AE" w14:textId="77777777" w:rsidR="008125F0" w:rsidRPr="00FD4D01" w:rsidRDefault="008125F0" w:rsidP="00831A6D">
      <w:pPr>
        <w:spacing w:line="480" w:lineRule="auto"/>
        <w:rPr>
          <w:rFonts w:ascii="Calibri" w:hAnsi="Calibri" w:cs="Calibri"/>
          <w:szCs w:val="24"/>
        </w:rPr>
      </w:pPr>
    </w:p>
    <w:p w14:paraId="65FF5A01" w14:textId="77777777" w:rsidR="00D92241" w:rsidRPr="00FD4D01" w:rsidRDefault="00D92241" w:rsidP="00831A6D">
      <w:pPr>
        <w:spacing w:line="480" w:lineRule="auto"/>
        <w:rPr>
          <w:rFonts w:ascii="Calibri" w:hAnsi="Calibri" w:cs="Calibri"/>
          <w:szCs w:val="24"/>
        </w:rPr>
      </w:pPr>
    </w:p>
    <w:p w14:paraId="1EDCB9A2" w14:textId="77777777" w:rsidR="00D92241" w:rsidRPr="00FD4D01" w:rsidRDefault="00D92241" w:rsidP="00831A6D">
      <w:pPr>
        <w:spacing w:line="480" w:lineRule="auto"/>
        <w:rPr>
          <w:rFonts w:ascii="Calibri" w:hAnsi="Calibri" w:cs="Calibri"/>
          <w:szCs w:val="24"/>
        </w:rPr>
      </w:pPr>
    </w:p>
    <w:p w14:paraId="2CF0AAE5" w14:textId="77777777" w:rsidR="00D92241" w:rsidRPr="00FD4D01" w:rsidRDefault="00D92241" w:rsidP="00831A6D">
      <w:pPr>
        <w:spacing w:line="480" w:lineRule="auto"/>
        <w:rPr>
          <w:rFonts w:ascii="Calibri" w:hAnsi="Calibri" w:cs="Calibri"/>
          <w:szCs w:val="24"/>
        </w:rPr>
      </w:pPr>
    </w:p>
    <w:p w14:paraId="44E541CA" w14:textId="77777777" w:rsidR="00D92241" w:rsidRPr="00FD4D01" w:rsidRDefault="00D92241" w:rsidP="00831A6D">
      <w:pPr>
        <w:spacing w:line="480" w:lineRule="auto"/>
        <w:rPr>
          <w:rFonts w:ascii="Calibri" w:hAnsi="Calibri" w:cs="Calibri"/>
          <w:szCs w:val="24"/>
        </w:rPr>
      </w:pPr>
    </w:p>
    <w:p w14:paraId="6454E5B3" w14:textId="77777777" w:rsidR="000437FE" w:rsidRPr="00FD4D01" w:rsidRDefault="000437FE" w:rsidP="002F73F5">
      <w:pPr>
        <w:spacing w:line="480" w:lineRule="auto"/>
        <w:rPr>
          <w:rFonts w:ascii="Calibri" w:hAnsi="Calibri" w:cs="Calibri"/>
          <w:szCs w:val="24"/>
        </w:rPr>
      </w:pPr>
    </w:p>
    <w:p w14:paraId="3A86B486" w14:textId="77777777" w:rsidR="008125F0" w:rsidRPr="00FD4D01" w:rsidRDefault="00EB264E" w:rsidP="008125F0">
      <w:pPr>
        <w:spacing w:line="480" w:lineRule="auto"/>
        <w:rPr>
          <w:rFonts w:ascii="Calibri" w:hAnsi="Calibri" w:cs="Calibri"/>
          <w:szCs w:val="24"/>
        </w:rPr>
      </w:pPr>
      <w:bookmarkStart w:id="6" w:name="_Toc221201960"/>
      <w:r w:rsidRPr="00FD4D01">
        <w:rPr>
          <w:rStyle w:val="Heading1Char"/>
          <w:rFonts w:ascii="Calibri" w:hAnsi="Calibri" w:cs="Calibri"/>
          <w:b/>
          <w:bCs/>
          <w:color w:val="auto"/>
          <w:sz w:val="24"/>
          <w:szCs w:val="24"/>
        </w:rPr>
        <w:t>6</w:t>
      </w:r>
      <w:r w:rsidR="00F11085" w:rsidRPr="00FD4D01">
        <w:rPr>
          <w:rStyle w:val="Heading1Char"/>
          <w:rFonts w:ascii="Calibri" w:hAnsi="Calibri" w:cs="Calibri"/>
          <w:b/>
          <w:bCs/>
          <w:color w:val="auto"/>
          <w:sz w:val="24"/>
          <w:szCs w:val="24"/>
        </w:rPr>
        <w:t>. Conclusion</w:t>
      </w:r>
      <w:bookmarkEnd w:id="6"/>
      <w:r w:rsidR="00F11085" w:rsidRPr="00FD4D01">
        <w:rPr>
          <w:rFonts w:ascii="Calibri" w:hAnsi="Calibri" w:cs="Calibri"/>
          <w:b/>
          <w:bCs/>
          <w:szCs w:val="24"/>
        </w:rPr>
        <w:t xml:space="preserve"> </w:t>
      </w:r>
      <w:r w:rsidR="00F11085" w:rsidRPr="00FD4D01">
        <w:rPr>
          <w:rFonts w:ascii="Calibri" w:hAnsi="Calibri" w:cs="Calibri"/>
          <w:szCs w:val="24"/>
        </w:rPr>
        <w:br/>
      </w:r>
      <w:bookmarkStart w:id="7" w:name="_Toc221201961"/>
      <w:r w:rsidR="008125F0" w:rsidRPr="00FD4D01">
        <w:rPr>
          <w:rFonts w:ascii="Calibri" w:hAnsi="Calibri" w:cs="Calibri"/>
          <w:szCs w:val="24"/>
        </w:rPr>
        <w:t xml:space="preserve">This assignment has examined the role of consumer protection laws in the tourism industry, demonstrating their critical importance in safeguarding </w:t>
      </w:r>
      <w:proofErr w:type="spellStart"/>
      <w:r w:rsidR="008125F0" w:rsidRPr="00FD4D01">
        <w:rPr>
          <w:rFonts w:ascii="Calibri" w:hAnsi="Calibri" w:cs="Calibri"/>
          <w:szCs w:val="24"/>
        </w:rPr>
        <w:t>travelers’</w:t>
      </w:r>
      <w:proofErr w:type="spellEnd"/>
      <w:r w:rsidR="008125F0" w:rsidRPr="00FD4D01">
        <w:rPr>
          <w:rFonts w:ascii="Calibri" w:hAnsi="Calibri" w:cs="Calibri"/>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5CC83FA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The analysis confirms that consumer protection laws play a vital role in addressing misleading advertising, unfair pricing practices, and unsafe tourism services. Regulatory frameworks governing package travel, transparency, and service quality strengthen 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093E2A95"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30F44BDB"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Overall, consumer protection laws function as both preventive and corrective mechanisms within tourism markets. As tourism continues to evolve through digitalisation and global uncertainty, adaptable and well-enforced consumer protection frameworks will remain fundamental to protecting </w:t>
      </w:r>
      <w:proofErr w:type="spellStart"/>
      <w:r w:rsidRPr="008125F0">
        <w:rPr>
          <w:rFonts w:ascii="Calibri" w:hAnsi="Calibri" w:cs="Calibri"/>
          <w:szCs w:val="24"/>
        </w:rPr>
        <w:t>travelers</w:t>
      </w:r>
      <w:proofErr w:type="spellEnd"/>
      <w:r w:rsidRPr="008125F0">
        <w:rPr>
          <w:rFonts w:ascii="Calibri" w:hAnsi="Calibri" w:cs="Calibri"/>
          <w:szCs w:val="24"/>
        </w:rPr>
        <w:t xml:space="preserve"> and supporting sustainable tourism development.</w:t>
      </w:r>
    </w:p>
    <w:p w14:paraId="6C251984" w14:textId="77777777" w:rsidR="00C06DEB" w:rsidRPr="00FD4D01" w:rsidRDefault="00C06DEB" w:rsidP="00C06DEB">
      <w:pPr>
        <w:spacing w:line="480" w:lineRule="auto"/>
        <w:rPr>
          <w:rFonts w:ascii="Calibri" w:hAnsi="Calibri" w:cs="Calibri"/>
          <w:b/>
          <w:bCs/>
          <w:szCs w:val="24"/>
        </w:rPr>
      </w:pPr>
    </w:p>
    <w:p w14:paraId="0881047A" w14:textId="49F23697" w:rsidR="004D7D13" w:rsidRPr="00FD4D01" w:rsidRDefault="004D7D13" w:rsidP="00C06DEB">
      <w:pPr>
        <w:spacing w:line="480" w:lineRule="auto"/>
        <w:rPr>
          <w:rFonts w:ascii="Calibri" w:hAnsi="Calibri" w:cs="Calibri"/>
          <w:b/>
          <w:bCs/>
          <w:szCs w:val="24"/>
        </w:rPr>
      </w:pPr>
      <w:r w:rsidRPr="00FD4D01">
        <w:rPr>
          <w:rFonts w:ascii="Calibri" w:hAnsi="Calibri" w:cs="Calibri"/>
          <w:b/>
          <w:bCs/>
          <w:szCs w:val="24"/>
        </w:rPr>
        <w:t>Reference List</w:t>
      </w:r>
      <w:bookmarkEnd w:id="7"/>
      <w:r w:rsidRPr="00FD4D01">
        <w:rPr>
          <w:rFonts w:ascii="Calibri" w:hAnsi="Calibri" w:cs="Calibri"/>
          <w:b/>
          <w:bCs/>
          <w:szCs w:val="24"/>
        </w:rPr>
        <w:t xml:space="preserve"> </w:t>
      </w:r>
    </w:p>
    <w:p w14:paraId="7E077137" w14:textId="77777777" w:rsidR="008125F0" w:rsidRPr="008125F0" w:rsidRDefault="008125F0" w:rsidP="008125F0">
      <w:pPr>
        <w:spacing w:line="480" w:lineRule="auto"/>
        <w:rPr>
          <w:rFonts w:ascii="Calibri" w:hAnsi="Calibri" w:cs="Calibri"/>
          <w:szCs w:val="24"/>
        </w:rPr>
      </w:pPr>
      <w:proofErr w:type="spellStart"/>
      <w:r w:rsidRPr="008125F0">
        <w:rPr>
          <w:rFonts w:ascii="Calibri" w:hAnsi="Calibri" w:cs="Calibri"/>
          <w:szCs w:val="24"/>
        </w:rPr>
        <w:t>Dolnicar</w:t>
      </w:r>
      <w:proofErr w:type="spellEnd"/>
      <w:r w:rsidRPr="008125F0">
        <w:rPr>
          <w:rFonts w:ascii="Calibri" w:hAnsi="Calibri" w:cs="Calibri"/>
          <w:szCs w:val="24"/>
        </w:rPr>
        <w:t xml:space="preserve">, S. (2019). A review of research into paid online reviews. </w:t>
      </w:r>
      <w:r w:rsidRPr="008125F0">
        <w:rPr>
          <w:rFonts w:ascii="Calibri" w:hAnsi="Calibri" w:cs="Calibri"/>
          <w:i/>
          <w:iCs/>
          <w:szCs w:val="24"/>
        </w:rPr>
        <w:t>Journal of Travel Research, 58</w:t>
      </w:r>
      <w:r w:rsidRPr="008125F0">
        <w:rPr>
          <w:rFonts w:ascii="Calibri" w:hAnsi="Calibri" w:cs="Calibri"/>
          <w:szCs w:val="24"/>
        </w:rPr>
        <w:t>(2), 255–269. https://doi.org/10.1177/0047287517746018</w:t>
      </w:r>
    </w:p>
    <w:p w14:paraId="7E8F3D1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 xml:space="preserve">Howells, G., Ramsay, I., &amp; Wilhelmsson, T. (2018). </w:t>
      </w:r>
      <w:r w:rsidRPr="008125F0">
        <w:rPr>
          <w:rFonts w:ascii="Calibri" w:hAnsi="Calibri" w:cs="Calibri"/>
          <w:i/>
          <w:iCs/>
          <w:szCs w:val="24"/>
        </w:rPr>
        <w:t>Handbook of research on international consumer law</w:t>
      </w:r>
      <w:r w:rsidRPr="008125F0">
        <w:rPr>
          <w:rFonts w:ascii="Calibri" w:hAnsi="Calibri" w:cs="Calibri"/>
          <w:szCs w:val="24"/>
        </w:rPr>
        <w:t xml:space="preserve"> (2nd ed.). Edward Elgar Publishing. https://doi.org/10.4337/9781785366544</w:t>
      </w:r>
    </w:p>
    <w:p w14:paraId="5827B422"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Lohmann, G., &amp; Netto, A. P. (2016). </w:t>
      </w:r>
      <w:r w:rsidRPr="008125F0">
        <w:rPr>
          <w:rFonts w:ascii="Calibri" w:hAnsi="Calibri" w:cs="Calibri"/>
          <w:i/>
          <w:iCs/>
          <w:szCs w:val="24"/>
        </w:rPr>
        <w:t>Tourism theory: Concepts, models and systems</w:t>
      </w:r>
      <w:r w:rsidRPr="008125F0">
        <w:rPr>
          <w:rFonts w:ascii="Calibri" w:hAnsi="Calibri" w:cs="Calibri"/>
          <w:szCs w:val="24"/>
        </w:rPr>
        <w:t>. CABI. https://doi.org/10.1079/9781780646504.0000</w:t>
      </w:r>
    </w:p>
    <w:p w14:paraId="0636644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Micklitz, H.-W. (2015). </w:t>
      </w:r>
      <w:r w:rsidRPr="008125F0">
        <w:rPr>
          <w:rFonts w:ascii="Calibri" w:hAnsi="Calibri" w:cs="Calibri"/>
          <w:i/>
          <w:iCs/>
          <w:szCs w:val="24"/>
        </w:rPr>
        <w:t>The politics of consumer rights</w:t>
      </w:r>
      <w:r w:rsidRPr="008125F0">
        <w:rPr>
          <w:rFonts w:ascii="Calibri" w:hAnsi="Calibri" w:cs="Calibri"/>
          <w:szCs w:val="24"/>
        </w:rPr>
        <w:t>. Cambridge University Press. https://doi.org/10.1017/CBO9781316104306</w:t>
      </w:r>
    </w:p>
    <w:p w14:paraId="6FB1CF28"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OECD. (2020). </w:t>
      </w:r>
      <w:r w:rsidRPr="008125F0">
        <w:rPr>
          <w:rFonts w:ascii="Calibri" w:hAnsi="Calibri" w:cs="Calibri"/>
          <w:i/>
          <w:iCs/>
          <w:szCs w:val="24"/>
        </w:rPr>
        <w:t>Consumer policy and fraud: Global perspectives</w:t>
      </w:r>
      <w:r w:rsidRPr="008125F0">
        <w:rPr>
          <w:rFonts w:ascii="Calibri" w:hAnsi="Calibri" w:cs="Calibri"/>
          <w:szCs w:val="24"/>
        </w:rPr>
        <w:t xml:space="preserve">. Organisation for Economic Co-operation and Development. </w:t>
      </w:r>
      <w:hyperlink r:id="rId7" w:tgtFrame="_new" w:history="1">
        <w:r w:rsidRPr="008125F0">
          <w:rPr>
            <w:rStyle w:val="Hyperlink"/>
            <w:rFonts w:ascii="Calibri" w:hAnsi="Calibri" w:cs="Calibri"/>
            <w:szCs w:val="24"/>
          </w:rPr>
          <w:t>https://www.oecd.org</w:t>
        </w:r>
      </w:hyperlink>
    </w:p>
    <w:p w14:paraId="136529CB" w14:textId="77777777" w:rsidR="008125F0" w:rsidRPr="008125F0" w:rsidRDefault="008125F0" w:rsidP="008125F0">
      <w:pPr>
        <w:spacing w:line="480" w:lineRule="auto"/>
        <w:rPr>
          <w:rFonts w:ascii="Calibri" w:hAnsi="Calibri" w:cs="Calibri"/>
          <w:szCs w:val="24"/>
        </w:rPr>
      </w:pPr>
      <w:proofErr w:type="spellStart"/>
      <w:r w:rsidRPr="008125F0">
        <w:rPr>
          <w:rFonts w:ascii="Calibri" w:hAnsi="Calibri" w:cs="Calibri"/>
          <w:szCs w:val="24"/>
        </w:rPr>
        <w:t>Pizam</w:t>
      </w:r>
      <w:proofErr w:type="spellEnd"/>
      <w:r w:rsidRPr="008125F0">
        <w:rPr>
          <w:rFonts w:ascii="Calibri" w:hAnsi="Calibri" w:cs="Calibri"/>
          <w:szCs w:val="24"/>
        </w:rPr>
        <w:t xml:space="preserve">, A., &amp; Mansfeld, Y. (2016). </w:t>
      </w:r>
      <w:r w:rsidRPr="008125F0">
        <w:rPr>
          <w:rFonts w:ascii="Calibri" w:hAnsi="Calibri" w:cs="Calibri"/>
          <w:i/>
          <w:iCs/>
          <w:szCs w:val="24"/>
        </w:rPr>
        <w:t>Tourism, crime and international security issues</w:t>
      </w:r>
      <w:r w:rsidRPr="008125F0">
        <w:rPr>
          <w:rFonts w:ascii="Calibri" w:hAnsi="Calibri" w:cs="Calibri"/>
          <w:szCs w:val="24"/>
        </w:rPr>
        <w:t>. Wiley. https://doi.org/10.1002/9781118923986</w:t>
      </w:r>
    </w:p>
    <w:p w14:paraId="2B0118C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Ramsay, I. (2012). </w:t>
      </w:r>
      <w:r w:rsidRPr="008125F0">
        <w:rPr>
          <w:rFonts w:ascii="Calibri" w:hAnsi="Calibri" w:cs="Calibri"/>
          <w:i/>
          <w:iCs/>
          <w:szCs w:val="24"/>
        </w:rPr>
        <w:t>Consumer law and policy: Text and materials</w:t>
      </w:r>
      <w:r w:rsidRPr="008125F0">
        <w:rPr>
          <w:rFonts w:ascii="Calibri" w:hAnsi="Calibri" w:cs="Calibri"/>
          <w:szCs w:val="24"/>
        </w:rPr>
        <w:t xml:space="preserve"> (3rd ed.). Hart Publishing.</w:t>
      </w:r>
    </w:p>
    <w:p w14:paraId="641F6CF1"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Santos, J. A. C., &amp; Basso, K. (2019). Price transparency and consumer trust in tourism services. </w:t>
      </w:r>
      <w:r w:rsidRPr="008125F0">
        <w:rPr>
          <w:rFonts w:ascii="Calibri" w:hAnsi="Calibri" w:cs="Calibri"/>
          <w:i/>
          <w:iCs/>
          <w:szCs w:val="24"/>
        </w:rPr>
        <w:t>Tourism Economics, 25</w:t>
      </w:r>
      <w:r w:rsidRPr="008125F0">
        <w:rPr>
          <w:rFonts w:ascii="Calibri" w:hAnsi="Calibri" w:cs="Calibri"/>
          <w:szCs w:val="24"/>
        </w:rPr>
        <w:t>(4), 605–623. https://doi.org/10.1177/1354816618796107</w:t>
      </w:r>
    </w:p>
    <w:p w14:paraId="24A348AC"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Sigala, M. (2018). Market formation in the sharing economy. </w:t>
      </w:r>
      <w:r w:rsidRPr="008125F0">
        <w:rPr>
          <w:rFonts w:ascii="Calibri" w:hAnsi="Calibri" w:cs="Calibri"/>
          <w:i/>
          <w:iCs/>
          <w:szCs w:val="24"/>
        </w:rPr>
        <w:t>Electronic Markets, 28</w:t>
      </w:r>
      <w:r w:rsidRPr="008125F0">
        <w:rPr>
          <w:rFonts w:ascii="Calibri" w:hAnsi="Calibri" w:cs="Calibri"/>
          <w:szCs w:val="24"/>
        </w:rPr>
        <w:t>(4), 371–379. https://doi.org/10.1007/s12525-018-0301-0</w:t>
      </w:r>
    </w:p>
    <w:p w14:paraId="2727B046"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Spencer, J. (2020). Consumer redress mechanisms in tourism services. </w:t>
      </w:r>
      <w:r w:rsidRPr="008125F0">
        <w:rPr>
          <w:rFonts w:ascii="Calibri" w:hAnsi="Calibri" w:cs="Calibri"/>
          <w:i/>
          <w:iCs/>
          <w:szCs w:val="24"/>
        </w:rPr>
        <w:t>International Journal of Consumer Studies, 44</w:t>
      </w:r>
      <w:r w:rsidRPr="008125F0">
        <w:rPr>
          <w:rFonts w:ascii="Calibri" w:hAnsi="Calibri" w:cs="Calibri"/>
          <w:szCs w:val="24"/>
        </w:rPr>
        <w:t>(3), 247–258. https://doi.org/10.1111/ijcs.12563</w:t>
      </w:r>
    </w:p>
    <w:p w14:paraId="38A23357"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UN World Tourism Organization. (2021). </w:t>
      </w:r>
      <w:r w:rsidRPr="008125F0">
        <w:rPr>
          <w:rFonts w:ascii="Calibri" w:hAnsi="Calibri" w:cs="Calibri"/>
          <w:i/>
          <w:iCs/>
          <w:szCs w:val="24"/>
        </w:rPr>
        <w:t>International code for the protection of tourists</w:t>
      </w:r>
      <w:r w:rsidRPr="008125F0">
        <w:rPr>
          <w:rFonts w:ascii="Calibri" w:hAnsi="Calibri" w:cs="Calibri"/>
          <w:szCs w:val="24"/>
        </w:rPr>
        <w:t xml:space="preserve">. </w:t>
      </w:r>
      <w:hyperlink r:id="rId8" w:tgtFrame="_new" w:history="1">
        <w:r w:rsidRPr="008125F0">
          <w:rPr>
            <w:rStyle w:val="Hyperlink"/>
            <w:rFonts w:ascii="Calibri" w:hAnsi="Calibri" w:cs="Calibri"/>
            <w:szCs w:val="24"/>
          </w:rPr>
          <w:t>https://www.unwto.org</w:t>
        </w:r>
      </w:hyperlink>
    </w:p>
    <w:p w14:paraId="41985624"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lastRenderedPageBreak/>
        <w:t xml:space="preserve">Wilks, J., &amp; Pendergast, D. (2017). </w:t>
      </w:r>
      <w:r w:rsidRPr="008125F0">
        <w:rPr>
          <w:rFonts w:ascii="Calibri" w:hAnsi="Calibri" w:cs="Calibri"/>
          <w:i/>
          <w:iCs/>
          <w:szCs w:val="24"/>
        </w:rPr>
        <w:t>Tourism in turbulent times: Towards safe experiences for visitors</w:t>
      </w:r>
      <w:r w:rsidRPr="008125F0">
        <w:rPr>
          <w:rFonts w:ascii="Calibri" w:hAnsi="Calibri" w:cs="Calibri"/>
          <w:szCs w:val="24"/>
        </w:rPr>
        <w:t>. Routledge. https://doi.org/10.4324/9780203786240</w:t>
      </w:r>
    </w:p>
    <w:p w14:paraId="0C2D6C2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Xiang, Z., &amp; </w:t>
      </w:r>
      <w:proofErr w:type="spellStart"/>
      <w:r w:rsidRPr="008125F0">
        <w:rPr>
          <w:rFonts w:ascii="Calibri" w:hAnsi="Calibri" w:cs="Calibri"/>
          <w:szCs w:val="24"/>
        </w:rPr>
        <w:t>Gretzel</w:t>
      </w:r>
      <w:proofErr w:type="spellEnd"/>
      <w:r w:rsidRPr="008125F0">
        <w:rPr>
          <w:rFonts w:ascii="Calibri" w:hAnsi="Calibri" w:cs="Calibri"/>
          <w:szCs w:val="24"/>
        </w:rPr>
        <w:t xml:space="preserve">, U. (2010). Role of social media in online travel information search. </w:t>
      </w:r>
      <w:r w:rsidRPr="008125F0">
        <w:rPr>
          <w:rFonts w:ascii="Calibri" w:hAnsi="Calibri" w:cs="Calibri"/>
          <w:i/>
          <w:iCs/>
          <w:szCs w:val="24"/>
        </w:rPr>
        <w:t>Tourism Management, 31</w:t>
      </w:r>
      <w:r w:rsidRPr="008125F0">
        <w:rPr>
          <w:rFonts w:ascii="Calibri" w:hAnsi="Calibri" w:cs="Calibri"/>
          <w:szCs w:val="24"/>
        </w:rPr>
        <w:t xml:space="preserve">(2), 179–188. </w:t>
      </w:r>
      <w:hyperlink r:id="rId9" w:tgtFrame="_new" w:history="1">
        <w:r w:rsidRPr="008125F0">
          <w:rPr>
            <w:rStyle w:val="Hyperlink"/>
            <w:rFonts w:ascii="Calibri" w:hAnsi="Calibri" w:cs="Calibri"/>
            <w:szCs w:val="24"/>
          </w:rPr>
          <w:t>https://doi.org/10.1016/j.tourman.2009.02.016</w:t>
        </w:r>
      </w:hyperlink>
    </w:p>
    <w:p w14:paraId="459A3203"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Zhang, M., &amp; Cole, S. (2016). Tourism and consumer vulnerability. </w:t>
      </w:r>
      <w:r w:rsidRPr="008125F0">
        <w:rPr>
          <w:rFonts w:ascii="Calibri" w:hAnsi="Calibri" w:cs="Calibri"/>
          <w:i/>
          <w:iCs/>
          <w:szCs w:val="24"/>
        </w:rPr>
        <w:t>Annals of Tourism Research, 61</w:t>
      </w:r>
      <w:r w:rsidRPr="008125F0">
        <w:rPr>
          <w:rFonts w:ascii="Calibri" w:hAnsi="Calibri" w:cs="Calibri"/>
          <w:szCs w:val="24"/>
        </w:rPr>
        <w:t>, 94–108. https://doi.org/10.1016/j.annals.2016.08.004</w:t>
      </w:r>
    </w:p>
    <w:p w14:paraId="477D78E0" w14:textId="77777777" w:rsidR="008125F0" w:rsidRPr="008125F0" w:rsidRDefault="008125F0" w:rsidP="008125F0">
      <w:pPr>
        <w:spacing w:line="480" w:lineRule="auto"/>
        <w:rPr>
          <w:rFonts w:ascii="Calibri" w:hAnsi="Calibri" w:cs="Calibri"/>
          <w:szCs w:val="24"/>
        </w:rPr>
      </w:pPr>
      <w:r w:rsidRPr="008125F0">
        <w:rPr>
          <w:rFonts w:ascii="Calibri" w:hAnsi="Calibri" w:cs="Calibri"/>
          <w:szCs w:val="24"/>
        </w:rPr>
        <w:t xml:space="preserve">European Parliament. (2020). </w:t>
      </w:r>
      <w:r w:rsidRPr="008125F0">
        <w:rPr>
          <w:rFonts w:ascii="Calibri" w:hAnsi="Calibri" w:cs="Calibri"/>
          <w:i/>
          <w:iCs/>
          <w:szCs w:val="24"/>
        </w:rPr>
        <w:t>Consumer protection in the digital single market</w:t>
      </w:r>
      <w:r w:rsidRPr="008125F0">
        <w:rPr>
          <w:rFonts w:ascii="Calibri" w:hAnsi="Calibri" w:cs="Calibri"/>
          <w:szCs w:val="24"/>
        </w:rPr>
        <w:t xml:space="preserve">. </w:t>
      </w:r>
      <w:hyperlink r:id="rId10" w:tgtFrame="_new" w:history="1">
        <w:r w:rsidRPr="008125F0">
          <w:rPr>
            <w:rStyle w:val="Hyperlink"/>
            <w:rFonts w:ascii="Calibri" w:hAnsi="Calibri" w:cs="Calibri"/>
            <w:szCs w:val="24"/>
          </w:rPr>
          <w:t>https://www.europarl.europa.eu</w:t>
        </w:r>
      </w:hyperlink>
    </w:p>
    <w:p w14:paraId="18D123F1" w14:textId="77777777" w:rsidR="00F11085" w:rsidRPr="00FD4D01" w:rsidRDefault="00F11085" w:rsidP="008125F0">
      <w:pPr>
        <w:spacing w:line="480" w:lineRule="auto"/>
        <w:rPr>
          <w:rFonts w:ascii="Calibri" w:hAnsi="Calibri" w:cs="Calibri"/>
          <w:szCs w:val="24"/>
          <w:lang w:val="en-US"/>
        </w:rPr>
      </w:pPr>
    </w:p>
    <w:sectPr w:rsidR="00F11085" w:rsidRPr="00FD4D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826F9"/>
    <w:rsid w:val="006D483F"/>
    <w:rsid w:val="00714A73"/>
    <w:rsid w:val="007469A5"/>
    <w:rsid w:val="00763D1C"/>
    <w:rsid w:val="00770D56"/>
    <w:rsid w:val="007F2D81"/>
    <w:rsid w:val="00810849"/>
    <w:rsid w:val="008125F0"/>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67892"/>
    <w:rsid w:val="00D74A74"/>
    <w:rsid w:val="00D8310C"/>
    <w:rsid w:val="00D84E95"/>
    <w:rsid w:val="00D92241"/>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D4D01"/>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tyles" Target="styles.xml"/><Relationship Id="rId7" Type="http://schemas.openxmlformats.org/officeDocument/2006/relationships/hyperlink" Target="https://www.oecd.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uroparl.europa.eu" TargetMode="External"/><Relationship Id="rId4" Type="http://schemas.openxmlformats.org/officeDocument/2006/relationships/settings" Target="settings.xml"/><Relationship Id="rId9" Type="http://schemas.openxmlformats.org/officeDocument/2006/relationships/hyperlink" Target="https://doi.org/10.1016/j.tourman.2009.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4943</Words>
  <Characters>28177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2026-02-05T13:58:00Z</dcterms:created>
  <dcterms:modified xsi:type="dcterms:W3CDTF">2026-02-05T13:58:00Z</dcterms:modified>
</cp:coreProperties>
</file>