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ED6AE4">
      <w:pPr>
        <w:spacing w:line="480" w:lineRule="auto"/>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ED6AE4">
      <w:pPr>
        <w:spacing w:line="480" w:lineRule="auto"/>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ED6AE4">
      <w:pPr>
        <w:spacing w:line="480" w:lineRule="auto"/>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18FD73B4" w:rsidR="0019504D" w:rsidRPr="004D7D6F" w:rsidRDefault="00E53D54" w:rsidP="00ED6AE4">
      <w:pPr>
        <w:spacing w:line="480" w:lineRule="auto"/>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ED6AE4" w:rsidRPr="00ED6AE4">
        <w:rPr>
          <w:rFonts w:asciiTheme="majorBidi" w:hAnsiTheme="majorBidi" w:cstheme="majorBidi"/>
          <w:lang w:val="de-DE"/>
        </w:rPr>
        <w:t>Shubham</w:t>
      </w:r>
    </w:p>
    <w:p w14:paraId="04D2B830" w14:textId="77777777" w:rsidR="0019504D" w:rsidRPr="004D7D6F" w:rsidRDefault="0019504D" w:rsidP="00ED6AE4">
      <w:pPr>
        <w:spacing w:line="480" w:lineRule="auto"/>
        <w:rPr>
          <w:rFonts w:asciiTheme="majorBidi" w:hAnsiTheme="majorBidi" w:cstheme="majorBidi"/>
        </w:rPr>
      </w:pPr>
    </w:p>
    <w:p w14:paraId="22F0CB4D" w14:textId="77777777" w:rsidR="0019504D" w:rsidRPr="004D7D6F" w:rsidRDefault="0019504D" w:rsidP="00ED6AE4">
      <w:pPr>
        <w:spacing w:line="480" w:lineRule="auto"/>
        <w:rPr>
          <w:rFonts w:asciiTheme="majorBidi" w:hAnsiTheme="majorBidi" w:cstheme="majorBidi"/>
        </w:rPr>
      </w:pPr>
    </w:p>
    <w:p w14:paraId="0AB415DA" w14:textId="77777777" w:rsidR="0019504D" w:rsidRPr="004D7D6F" w:rsidRDefault="0019504D" w:rsidP="00ED6AE4">
      <w:pPr>
        <w:spacing w:line="480" w:lineRule="auto"/>
        <w:rPr>
          <w:rFonts w:asciiTheme="majorBidi" w:hAnsiTheme="majorBidi" w:cstheme="majorBidi"/>
        </w:rPr>
      </w:pPr>
    </w:p>
    <w:p w14:paraId="39B70D9C" w14:textId="77777777" w:rsidR="0019504D" w:rsidRPr="004D7D6F" w:rsidRDefault="0019504D" w:rsidP="00ED6AE4">
      <w:pPr>
        <w:spacing w:line="480" w:lineRule="auto"/>
        <w:rPr>
          <w:rFonts w:asciiTheme="majorBidi" w:hAnsiTheme="majorBidi" w:cstheme="majorBidi"/>
        </w:rPr>
      </w:pPr>
    </w:p>
    <w:p w14:paraId="3E91E31A" w14:textId="77777777" w:rsidR="00CD620A" w:rsidRPr="004D7D6F" w:rsidRDefault="00CD620A" w:rsidP="00ED6AE4">
      <w:pPr>
        <w:spacing w:line="480" w:lineRule="auto"/>
        <w:rPr>
          <w:rFonts w:asciiTheme="majorBidi" w:hAnsiTheme="majorBidi" w:cstheme="majorBidi"/>
        </w:rPr>
      </w:pPr>
    </w:p>
    <w:p w14:paraId="7DC23695" w14:textId="77777777" w:rsidR="00CD620A" w:rsidRPr="004D7D6F" w:rsidRDefault="00CD620A" w:rsidP="00ED6AE4">
      <w:pPr>
        <w:spacing w:line="480" w:lineRule="auto"/>
        <w:rPr>
          <w:rFonts w:asciiTheme="majorBidi" w:hAnsiTheme="majorBidi" w:cstheme="majorBidi"/>
        </w:rPr>
      </w:pPr>
    </w:p>
    <w:p w14:paraId="1EB4DFAD" w14:textId="77777777" w:rsidR="00CD620A" w:rsidRPr="004D7D6F" w:rsidRDefault="00CD620A" w:rsidP="00ED6AE4">
      <w:pPr>
        <w:spacing w:line="480" w:lineRule="auto"/>
        <w:rPr>
          <w:rFonts w:asciiTheme="majorBidi" w:hAnsiTheme="majorBidi" w:cstheme="majorBidi"/>
        </w:rPr>
      </w:pPr>
    </w:p>
    <w:p w14:paraId="1BF5B8E8" w14:textId="77777777" w:rsidR="00CD620A" w:rsidRPr="004D7D6F" w:rsidRDefault="00CD620A" w:rsidP="00ED6AE4">
      <w:pPr>
        <w:spacing w:line="480" w:lineRule="auto"/>
        <w:rPr>
          <w:rFonts w:asciiTheme="majorBidi" w:hAnsiTheme="majorBidi" w:cstheme="majorBidi"/>
        </w:rPr>
      </w:pPr>
    </w:p>
    <w:p w14:paraId="3CC35394" w14:textId="77777777" w:rsidR="00CD620A" w:rsidRPr="004D7D6F" w:rsidRDefault="00CD620A" w:rsidP="00ED6AE4">
      <w:pPr>
        <w:spacing w:line="480" w:lineRule="auto"/>
        <w:rPr>
          <w:rFonts w:asciiTheme="majorBidi" w:hAnsiTheme="majorBidi" w:cstheme="majorBidi"/>
        </w:rPr>
      </w:pPr>
    </w:p>
    <w:p w14:paraId="2C6A308E" w14:textId="77777777" w:rsidR="00EA737F" w:rsidRPr="004D7D6F" w:rsidRDefault="00EA737F" w:rsidP="00ED6AE4">
      <w:pPr>
        <w:spacing w:line="480" w:lineRule="auto"/>
        <w:rPr>
          <w:rFonts w:asciiTheme="majorBidi" w:hAnsiTheme="majorBidi" w:cstheme="majorBidi"/>
        </w:rPr>
      </w:pPr>
    </w:p>
    <w:p w14:paraId="00D57E9F" w14:textId="77777777" w:rsidR="009942AA" w:rsidRPr="004D7D6F" w:rsidRDefault="009942AA" w:rsidP="00ED6AE4">
      <w:pPr>
        <w:spacing w:line="480" w:lineRule="auto"/>
        <w:rPr>
          <w:rFonts w:asciiTheme="majorBidi" w:hAnsiTheme="majorBidi" w:cstheme="majorBidi"/>
        </w:rPr>
      </w:pPr>
    </w:p>
    <w:p w14:paraId="196754BC" w14:textId="77777777" w:rsidR="009942AA" w:rsidRPr="004D7D6F" w:rsidRDefault="009942AA" w:rsidP="00ED6AE4">
      <w:pPr>
        <w:spacing w:line="480" w:lineRule="auto"/>
        <w:rPr>
          <w:rFonts w:asciiTheme="majorBidi" w:hAnsiTheme="majorBidi" w:cstheme="majorBidi"/>
        </w:rPr>
      </w:pPr>
    </w:p>
    <w:p w14:paraId="2C2A61E7" w14:textId="77777777" w:rsidR="0019504D" w:rsidRPr="004D7D6F" w:rsidRDefault="0019504D" w:rsidP="00ED6AE4">
      <w:pPr>
        <w:spacing w:line="480" w:lineRule="auto"/>
        <w:rPr>
          <w:rFonts w:asciiTheme="majorBidi" w:hAnsiTheme="majorBidi" w:cstheme="majorBidi"/>
        </w:rPr>
      </w:pPr>
    </w:p>
    <w:p w14:paraId="70FAA355" w14:textId="77777777" w:rsidR="0019504D" w:rsidRPr="004D7D6F" w:rsidRDefault="0019504D" w:rsidP="00ED6AE4">
      <w:pPr>
        <w:spacing w:line="480" w:lineRule="auto"/>
        <w:rPr>
          <w:rFonts w:asciiTheme="majorBidi" w:hAnsiTheme="majorBidi" w:cstheme="majorBidi"/>
        </w:rPr>
      </w:pPr>
    </w:p>
    <w:p w14:paraId="5A58F637" w14:textId="77777777" w:rsidR="00EA737F" w:rsidRPr="004D7D6F" w:rsidRDefault="00CD620A" w:rsidP="00ED6AE4">
      <w:pPr>
        <w:spacing w:line="480"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D6AE4">
      <w:pPr>
        <w:spacing w:line="480" w:lineRule="auto"/>
        <w:rPr>
          <w:rFonts w:asciiTheme="majorBidi" w:hAnsiTheme="majorBidi" w:cstheme="majorBidi"/>
          <w:lang w:val="en-US"/>
        </w:rPr>
      </w:pPr>
    </w:p>
    <w:p w14:paraId="3D62EC2F"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D6AE4">
      <w:pPr>
        <w:pStyle w:val="ListParagraph"/>
        <w:spacing w:line="480" w:lineRule="auto"/>
        <w:rPr>
          <w:rFonts w:asciiTheme="majorBidi" w:hAnsiTheme="majorBidi" w:cstheme="majorBidi"/>
        </w:rPr>
      </w:pPr>
    </w:p>
    <w:p w14:paraId="30D628F6" w14:textId="77777777" w:rsidR="00E53D54" w:rsidRPr="004D7D6F" w:rsidRDefault="00E53D54" w:rsidP="00ED6AE4">
      <w:pPr>
        <w:pStyle w:val="ListParagraph"/>
        <w:numPr>
          <w:ilvl w:val="0"/>
          <w:numId w:val="3"/>
        </w:numPr>
        <w:spacing w:line="480"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D6AE4">
      <w:pPr>
        <w:spacing w:line="480" w:lineRule="auto"/>
        <w:ind w:left="360"/>
        <w:rPr>
          <w:rFonts w:asciiTheme="majorBidi" w:hAnsiTheme="majorBidi" w:cstheme="majorBidi"/>
          <w:lang w:val="en-US"/>
        </w:rPr>
      </w:pPr>
    </w:p>
    <w:p w14:paraId="7DCF82FE" w14:textId="77777777" w:rsidR="004C213A" w:rsidRPr="004D7D6F" w:rsidRDefault="004C213A" w:rsidP="00ED6AE4">
      <w:pPr>
        <w:spacing w:line="480" w:lineRule="auto"/>
        <w:rPr>
          <w:rFonts w:asciiTheme="majorBidi" w:hAnsiTheme="majorBidi" w:cstheme="majorBidi"/>
          <w:lang w:val="en-US"/>
        </w:rPr>
      </w:pPr>
    </w:p>
    <w:p w14:paraId="33FC2605"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ED6AE4">
      <w:pPr>
        <w:spacing w:line="480" w:lineRule="auto"/>
        <w:ind w:left="360"/>
        <w:rPr>
          <w:rFonts w:asciiTheme="majorBidi" w:hAnsiTheme="majorBidi" w:cstheme="majorBidi"/>
          <w:lang w:val="en-GB"/>
        </w:rPr>
      </w:pPr>
    </w:p>
    <w:p w14:paraId="0677BE41"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Demand forecasting refers to the analytical process of predicting future customer demand using historical booking data, market conditions, seasonality, consumer behaviour, and external variables such as economic trends and events. In the hospitality industry, where services are perishable and capacity is fixed, accurate demand forecasting is essential for effective promotional planning and yield management. By anticipating demand fluctuations, hospitality managers can make informed decisions that enhance revenue performance, marketing efficiency, and operational stability.</w:t>
      </w:r>
    </w:p>
    <w:p w14:paraId="3ACA7EE2" w14:textId="346B828F" w:rsidR="00ED6AE4" w:rsidRPr="00ED6AE4" w:rsidRDefault="00ED6AE4" w:rsidP="00ED6AE4">
      <w:pPr>
        <w:spacing w:line="480" w:lineRule="auto"/>
        <w:rPr>
          <w:rFonts w:asciiTheme="majorBidi" w:hAnsiTheme="majorBidi" w:cstheme="majorBidi"/>
          <w:lang w:val="en-GB"/>
        </w:rPr>
      </w:pPr>
    </w:p>
    <w:p w14:paraId="05727195" w14:textId="77777777" w:rsidR="00ED6AE4" w:rsidRPr="00ED6AE4" w:rsidRDefault="00ED6AE4" w:rsidP="00ED6AE4">
      <w:pPr>
        <w:spacing w:line="480" w:lineRule="auto"/>
        <w:rPr>
          <w:rFonts w:asciiTheme="majorBidi" w:hAnsiTheme="majorBidi" w:cstheme="majorBidi"/>
          <w:b/>
          <w:bCs/>
          <w:lang w:val="en-GB"/>
        </w:rPr>
      </w:pPr>
      <w:r w:rsidRPr="00ED6AE4">
        <w:rPr>
          <w:rFonts w:asciiTheme="majorBidi" w:hAnsiTheme="majorBidi" w:cstheme="majorBidi"/>
          <w:b/>
          <w:bCs/>
          <w:lang w:val="en-GB"/>
        </w:rPr>
        <w:t>How Demand Forecasting Improves Promotional Planning in Hospitality</w:t>
      </w:r>
    </w:p>
    <w:p w14:paraId="127C0D91" w14:textId="77777777" w:rsidR="00ED6AE4" w:rsidRPr="00ED6AE4" w:rsidRDefault="00ED6AE4" w:rsidP="00ED6AE4">
      <w:pPr>
        <w:spacing w:line="480" w:lineRule="auto"/>
        <w:rPr>
          <w:rFonts w:asciiTheme="majorBidi" w:hAnsiTheme="majorBidi" w:cstheme="majorBidi"/>
          <w:b/>
          <w:bCs/>
          <w:lang w:val="en-GB"/>
        </w:rPr>
      </w:pPr>
      <w:r w:rsidRPr="00ED6AE4">
        <w:rPr>
          <w:rFonts w:asciiTheme="majorBidi" w:hAnsiTheme="majorBidi" w:cstheme="majorBidi"/>
          <w:b/>
          <w:bCs/>
          <w:lang w:val="en-GB"/>
        </w:rPr>
        <w:t>1. Strategic Timing of Promotions</w:t>
      </w:r>
    </w:p>
    <w:p w14:paraId="3C211C23"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Hospitality demand is highly sensitive to time-related factors such as seasons, weekdays versus weekends, holidays, and special events. Demand forecasting enables managers to identify periods of anticipated low occupancy and apply targeted promotional campaigns to stimulate demand during these slow periods. Instead of offering blanket discounts year-round, hotels can strategically introduce promotions when forecasted demand is weak, thereby improving occupancy without unnecessary revenue dilution.</w:t>
      </w:r>
    </w:p>
    <w:p w14:paraId="5D4147D9"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For instance, forecasting models may reveal predictable drops in demand during shoulder seasons. Hotels can then proactively introduce early-bird discounts, bundled service packages, or loyalty incentives to attract bookings in advance. This forward-looking approach ensures promotions are demand-driven rather than reactive, leading to better capacity utilisation and higher marketing effectiveness.</w:t>
      </w:r>
    </w:p>
    <w:p w14:paraId="2C6E4792" w14:textId="77777777" w:rsidR="00ED6AE4" w:rsidRPr="00ED6AE4" w:rsidRDefault="00ED6AE4" w:rsidP="00ED6AE4">
      <w:pPr>
        <w:spacing w:line="480" w:lineRule="auto"/>
        <w:rPr>
          <w:rFonts w:asciiTheme="majorBidi" w:hAnsiTheme="majorBidi" w:cstheme="majorBidi"/>
          <w:b/>
          <w:bCs/>
          <w:lang w:val="en-GB"/>
        </w:rPr>
      </w:pPr>
      <w:r w:rsidRPr="00ED6AE4">
        <w:rPr>
          <w:rFonts w:asciiTheme="majorBidi" w:hAnsiTheme="majorBidi" w:cstheme="majorBidi"/>
          <w:b/>
          <w:bCs/>
          <w:lang w:val="en-GB"/>
        </w:rPr>
        <w:t>2. Improved Targeting and Personalisation</w:t>
      </w:r>
    </w:p>
    <w:p w14:paraId="1DBC698F"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lastRenderedPageBreak/>
        <w:t>Accurate demand forecasts allow hospitality firms to segment customers based on booking patterns, length of stay, and price sensitivity. This segmentation supports more personalised and relevant promotional offers. Leisure travellers, for example, may respond positively to experiential bundles, while business travellers may value flexible booking conditions or loyalty rewards.</w:t>
      </w:r>
    </w:p>
    <w:p w14:paraId="602A4B4B"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Forecasting supports data-driven promotional design by identifying which customer segments are most likely to book at specific times. As a result, marketing campaigns become more targeted, increasing conversion rates and reducing promotional waste. This alignment between predicted demand and customer preferences enhances both promotional efficiency and guest satisfaction.</w:t>
      </w:r>
    </w:p>
    <w:p w14:paraId="51976CDD" w14:textId="77777777" w:rsidR="00ED6AE4" w:rsidRPr="00ED6AE4" w:rsidRDefault="00ED6AE4" w:rsidP="00ED6AE4">
      <w:pPr>
        <w:spacing w:line="480" w:lineRule="auto"/>
        <w:rPr>
          <w:rFonts w:asciiTheme="majorBidi" w:hAnsiTheme="majorBidi" w:cstheme="majorBidi"/>
          <w:b/>
          <w:bCs/>
          <w:lang w:val="en-GB"/>
        </w:rPr>
      </w:pPr>
      <w:r w:rsidRPr="00ED6AE4">
        <w:rPr>
          <w:rFonts w:asciiTheme="majorBidi" w:hAnsiTheme="majorBidi" w:cstheme="majorBidi"/>
          <w:b/>
          <w:bCs/>
          <w:lang w:val="en-GB"/>
        </w:rPr>
        <w:t>3. Optimisation of Promotional Budgets</w:t>
      </w:r>
    </w:p>
    <w:p w14:paraId="3938345A"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Marketing resources are limited, and demand forecasting helps hospitality managers allocate promotional budgets more effectively. By predicting expected booking volumes across channels and time periods, managers can prioritise promotions that yield the highest return on investment. If forecasts indicate strong organic demand through direct channels, promotional spending can be reduced or redirected toward weaker channels.</w:t>
      </w:r>
    </w:p>
    <w:p w14:paraId="3C3D20E9" w14:textId="77777777" w:rsidR="00ED6AE4" w:rsidRPr="00ED6AE4" w:rsidRDefault="00ED6AE4" w:rsidP="00ED6AE4">
      <w:pPr>
        <w:spacing w:line="480" w:lineRule="auto"/>
        <w:rPr>
          <w:rFonts w:asciiTheme="majorBidi" w:hAnsiTheme="majorBidi" w:cstheme="majorBidi"/>
          <w:lang w:val="en-GB"/>
        </w:rPr>
      </w:pPr>
      <w:r w:rsidRPr="00ED6AE4">
        <w:rPr>
          <w:rFonts w:asciiTheme="majorBidi" w:hAnsiTheme="majorBidi" w:cstheme="majorBidi"/>
          <w:lang w:val="en-GB"/>
        </w:rPr>
        <w:t>This evidence-based allocation ensures that promotional spending supports revenue objectives rather than compensating for poor planning. Forecast-driven promotions also help maintain brand value by avoiding excessive discounting that may damage perceived quality.</w:t>
      </w:r>
    </w:p>
    <w:p w14:paraId="7799F275" w14:textId="77777777" w:rsidR="004C213A" w:rsidRDefault="004C213A" w:rsidP="00ED6AE4">
      <w:pPr>
        <w:spacing w:line="480" w:lineRule="auto"/>
        <w:rPr>
          <w:rFonts w:asciiTheme="majorBidi" w:hAnsiTheme="majorBidi" w:cstheme="majorBidi"/>
          <w:lang w:val="en-GB"/>
        </w:rPr>
      </w:pPr>
    </w:p>
    <w:p w14:paraId="11AFEC18" w14:textId="77777777" w:rsidR="00ED6AE4" w:rsidRPr="004D7D6F" w:rsidRDefault="00ED6AE4" w:rsidP="00ED6AE4">
      <w:pPr>
        <w:spacing w:line="480" w:lineRule="auto"/>
        <w:rPr>
          <w:rFonts w:asciiTheme="majorBidi" w:hAnsiTheme="majorBidi" w:cstheme="majorBidi"/>
          <w:lang w:val="en-GB"/>
        </w:rPr>
      </w:pPr>
    </w:p>
    <w:p w14:paraId="1AD01D50" w14:textId="77777777" w:rsidR="004C213A" w:rsidRPr="004C213A" w:rsidRDefault="004C213A" w:rsidP="00ED6AE4">
      <w:pPr>
        <w:spacing w:line="480" w:lineRule="auto"/>
        <w:ind w:left="360"/>
        <w:rPr>
          <w:rFonts w:asciiTheme="majorBidi" w:hAnsiTheme="majorBidi" w:cstheme="majorBidi"/>
          <w:lang w:val="en-GB"/>
        </w:rPr>
      </w:pPr>
    </w:p>
    <w:p w14:paraId="7CE32D41" w14:textId="77777777" w:rsidR="004C213A" w:rsidRDefault="004C213A" w:rsidP="00ED6AE4">
      <w:pPr>
        <w:spacing w:line="480"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5C15A578" w14:textId="77777777" w:rsidR="007B139F" w:rsidRDefault="007B139F" w:rsidP="00ED6AE4">
      <w:pPr>
        <w:spacing w:line="480" w:lineRule="auto"/>
        <w:ind w:left="360"/>
        <w:rPr>
          <w:rFonts w:asciiTheme="majorBidi" w:hAnsiTheme="majorBidi" w:cstheme="majorBidi"/>
          <w:b/>
          <w:bCs/>
          <w:lang w:val="en-GB"/>
        </w:rPr>
      </w:pPr>
    </w:p>
    <w:p w14:paraId="1491E232"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lastRenderedPageBreak/>
        <w:t>Yield management focuses on maximising revenue by selling the right room to the right customer at the right time and price. Demand forecasting is the foundation of yield management systems, as pricing and inventory decisions rely heavily on anticipated demand levels.</w:t>
      </w:r>
    </w:p>
    <w:p w14:paraId="3B9F626B" w14:textId="77777777" w:rsidR="00ED6AE4" w:rsidRPr="00ED6AE4" w:rsidRDefault="00ED6AE4" w:rsidP="00ED6AE4">
      <w:pPr>
        <w:spacing w:line="480" w:lineRule="auto"/>
        <w:ind w:left="360"/>
        <w:rPr>
          <w:rFonts w:asciiTheme="majorBidi" w:hAnsiTheme="majorBidi" w:cstheme="majorBidi"/>
          <w:b/>
          <w:bCs/>
          <w:lang w:val="en-GB"/>
        </w:rPr>
      </w:pPr>
      <w:r w:rsidRPr="00ED6AE4">
        <w:rPr>
          <w:rFonts w:asciiTheme="majorBidi" w:hAnsiTheme="majorBidi" w:cstheme="majorBidi"/>
          <w:b/>
          <w:bCs/>
          <w:lang w:val="en-GB"/>
        </w:rPr>
        <w:t>1. Dynamic Pricing and Revenue Optimisation</w:t>
      </w:r>
    </w:p>
    <w:p w14:paraId="6C8F7CEF"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Demand forecasting enables hospitality organisations to implement dynamic pricing strategies by anticipating changes in demand intensity. When high demand is forecasted, prices can be increased to capture greater willingness to pay. Conversely, when low demand is expected, prices can be adjusted downward or supplemented with value-added offers to stimulate bookings.</w:t>
      </w:r>
    </w:p>
    <w:p w14:paraId="57B8C366"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Without accurate demand forecasts, pricing decisions risk being either overly aggressive or overly conservative, leading to lost revenue opportunities. Forecast-informed pricing helps balance occupancy and average daily rate (ADR), improving overall revenue performance.</w:t>
      </w:r>
    </w:p>
    <w:p w14:paraId="662D1384" w14:textId="77777777" w:rsidR="00ED6AE4" w:rsidRPr="00ED6AE4" w:rsidRDefault="00ED6AE4" w:rsidP="00ED6AE4">
      <w:pPr>
        <w:spacing w:line="480" w:lineRule="auto"/>
        <w:ind w:left="360"/>
        <w:rPr>
          <w:rFonts w:asciiTheme="majorBidi" w:hAnsiTheme="majorBidi" w:cstheme="majorBidi"/>
          <w:b/>
          <w:bCs/>
          <w:lang w:val="en-GB"/>
        </w:rPr>
      </w:pPr>
      <w:r w:rsidRPr="00ED6AE4">
        <w:rPr>
          <w:rFonts w:asciiTheme="majorBidi" w:hAnsiTheme="majorBidi" w:cstheme="majorBidi"/>
          <w:b/>
          <w:bCs/>
          <w:lang w:val="en-GB"/>
        </w:rPr>
        <w:t>2. Inventory Control and Overbooking Decisions</w:t>
      </w:r>
    </w:p>
    <w:p w14:paraId="6A52ABA2"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Hotel rooms are a perishable resource, meaning unsold inventory cannot be recovered once the night passes. Demand forecasting assists yield managers in estimating cancellation rates and no-show probabilities. This information enables controlled overbooking strategies that reduce the risk of empty rooms while maintaining acceptable service levels.</w:t>
      </w:r>
    </w:p>
    <w:p w14:paraId="008F4949"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For example, forecasting models may indicate that a certain percentage of reservations are likely to cancel before arrival. Managers can overbook accordingly to compensate for these expected losses. This practice enhances occupancy and revenue without significantly increasing the likelihood of customer displacement.</w:t>
      </w:r>
    </w:p>
    <w:p w14:paraId="13FB2A6C" w14:textId="77777777" w:rsidR="00ED6AE4" w:rsidRPr="00ED6AE4" w:rsidRDefault="00ED6AE4" w:rsidP="00ED6AE4">
      <w:pPr>
        <w:spacing w:line="480" w:lineRule="auto"/>
        <w:ind w:left="360"/>
        <w:rPr>
          <w:rFonts w:asciiTheme="majorBidi" w:hAnsiTheme="majorBidi" w:cstheme="majorBidi"/>
          <w:b/>
          <w:bCs/>
          <w:lang w:val="en-GB"/>
        </w:rPr>
      </w:pPr>
      <w:r w:rsidRPr="00ED6AE4">
        <w:rPr>
          <w:rFonts w:asciiTheme="majorBidi" w:hAnsiTheme="majorBidi" w:cstheme="majorBidi"/>
          <w:b/>
          <w:bCs/>
          <w:lang w:val="en-GB"/>
        </w:rPr>
        <w:t>3. Distribution Channel Management</w:t>
      </w:r>
    </w:p>
    <w:p w14:paraId="25972DDB"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lastRenderedPageBreak/>
        <w:t>Hospitality businesses sell rooms through multiple channels, including direct bookings, online travel agencies (OTAs), and corporate agreements. Demand forecasting helps yield managers determine how much inventory to allocate to each channel based on expected demand and cost structures.</w:t>
      </w:r>
    </w:p>
    <w:p w14:paraId="33C6E784"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If forecasts suggest strong demand through direct channels, hotels may limit inventory on high-commission OTAs to preserve margins. Alternatively, during low-demand periods, additional inventory may be released through promotional channels to boost occupancy. These channel allocation decisions are heavily dependent on accurate demand forecasts and are central to effective yield management.</w:t>
      </w:r>
    </w:p>
    <w:p w14:paraId="70AC7094" w14:textId="4564505B" w:rsidR="00ED6AE4" w:rsidRPr="00ED6AE4" w:rsidRDefault="00ED6AE4" w:rsidP="00ED6AE4">
      <w:pPr>
        <w:spacing w:line="480" w:lineRule="auto"/>
        <w:ind w:left="360"/>
        <w:rPr>
          <w:rFonts w:asciiTheme="majorBidi" w:hAnsiTheme="majorBidi" w:cstheme="majorBidi"/>
          <w:lang w:val="en-GB"/>
        </w:rPr>
      </w:pPr>
    </w:p>
    <w:p w14:paraId="2267DA1C" w14:textId="77777777" w:rsidR="00ED6AE4" w:rsidRPr="00ED6AE4" w:rsidRDefault="00ED6AE4" w:rsidP="00ED6AE4">
      <w:pPr>
        <w:spacing w:line="480" w:lineRule="auto"/>
        <w:ind w:left="360"/>
        <w:rPr>
          <w:rFonts w:asciiTheme="majorBidi" w:hAnsiTheme="majorBidi" w:cstheme="majorBidi"/>
          <w:b/>
          <w:bCs/>
          <w:lang w:val="en-GB"/>
        </w:rPr>
      </w:pPr>
      <w:r w:rsidRPr="00ED6AE4">
        <w:rPr>
          <w:rFonts w:asciiTheme="majorBidi" w:hAnsiTheme="majorBidi" w:cstheme="majorBidi"/>
          <w:b/>
          <w:bCs/>
          <w:lang w:val="en-GB"/>
        </w:rPr>
        <w:t>Conclusion</w:t>
      </w:r>
    </w:p>
    <w:p w14:paraId="05273B78"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Demand forecasting plays a pivotal role in both promotional planning and yield management within the hospitality industry. In promotional planning, it enables precise timing, improved targeting, and efficient use of marketing budgets. In yield management, forecasting underpins pricing strategies, inventory control, overbooking decisions, and channel optimisation. By integrating demand forecasting into strategic decision-making, hospitality organisations can enhance revenue performance, minimise operational risk, and deliver greater value to customers. As competition and market volatility continue to increase, demand forecasting will remain a critical capability for sustainable hospitality management.</w:t>
      </w:r>
    </w:p>
    <w:p w14:paraId="6698FB77" w14:textId="77777777" w:rsidR="004D7D6F" w:rsidRDefault="004D7D6F" w:rsidP="00ED6AE4">
      <w:pPr>
        <w:spacing w:line="480" w:lineRule="auto"/>
        <w:ind w:left="360"/>
        <w:rPr>
          <w:rFonts w:asciiTheme="majorBidi" w:hAnsiTheme="majorBidi" w:cstheme="majorBidi"/>
          <w:lang w:val="en-US"/>
        </w:rPr>
      </w:pPr>
    </w:p>
    <w:p w14:paraId="491C58E2" w14:textId="77777777" w:rsidR="004D7D6F" w:rsidRDefault="004D7D6F" w:rsidP="00ED6AE4">
      <w:pPr>
        <w:spacing w:line="480" w:lineRule="auto"/>
        <w:ind w:left="360"/>
        <w:rPr>
          <w:rFonts w:asciiTheme="majorBidi" w:hAnsiTheme="majorBidi" w:cstheme="majorBidi"/>
          <w:lang w:val="en-US"/>
        </w:rPr>
      </w:pPr>
    </w:p>
    <w:p w14:paraId="64369D1F" w14:textId="77777777" w:rsidR="004D7D6F" w:rsidRDefault="004D7D6F" w:rsidP="00ED6AE4">
      <w:pPr>
        <w:spacing w:line="480" w:lineRule="auto"/>
        <w:ind w:left="360"/>
        <w:rPr>
          <w:rFonts w:asciiTheme="majorBidi" w:hAnsiTheme="majorBidi" w:cstheme="majorBidi"/>
          <w:lang w:val="en-US"/>
        </w:rPr>
      </w:pPr>
    </w:p>
    <w:p w14:paraId="3872F608" w14:textId="77777777" w:rsidR="00ED6AE4" w:rsidRPr="004D7D6F" w:rsidRDefault="00ED6AE4" w:rsidP="00ED6AE4">
      <w:pPr>
        <w:spacing w:line="480" w:lineRule="auto"/>
        <w:ind w:left="360"/>
        <w:rPr>
          <w:rFonts w:asciiTheme="majorBidi" w:hAnsiTheme="majorBidi" w:cstheme="majorBidi"/>
          <w:lang w:val="en-US"/>
        </w:rPr>
      </w:pPr>
    </w:p>
    <w:p w14:paraId="2361EEA6" w14:textId="2D555E62" w:rsidR="004D7D6F" w:rsidRPr="004D7D6F" w:rsidRDefault="004D7D6F" w:rsidP="00ED6AE4">
      <w:pPr>
        <w:spacing w:line="480" w:lineRule="auto"/>
        <w:ind w:left="360"/>
        <w:rPr>
          <w:rFonts w:asciiTheme="majorBidi" w:hAnsiTheme="majorBidi" w:cstheme="majorBidi"/>
          <w:b/>
          <w:bCs/>
          <w:lang w:val="en-GB"/>
        </w:rPr>
      </w:pPr>
      <w:r w:rsidRPr="004D7D6F">
        <w:rPr>
          <w:rFonts w:asciiTheme="majorBidi" w:hAnsiTheme="majorBidi" w:cstheme="majorBidi"/>
          <w:b/>
          <w:bCs/>
          <w:lang w:val="en-GB"/>
        </w:rPr>
        <w:t xml:space="preserve">References </w:t>
      </w:r>
    </w:p>
    <w:p w14:paraId="4E420EB0"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lastRenderedPageBreak/>
        <w:t xml:space="preserve">Song, H., &amp; Li, G. (2008). Tourism demand modelling and forecasting—A review of recent research. </w:t>
      </w:r>
      <w:r w:rsidRPr="00ED6AE4">
        <w:rPr>
          <w:rFonts w:asciiTheme="majorBidi" w:hAnsiTheme="majorBidi" w:cstheme="majorBidi"/>
          <w:i/>
          <w:iCs/>
          <w:lang w:val="en-GB"/>
        </w:rPr>
        <w:t>Tourism Management</w:t>
      </w:r>
      <w:r w:rsidRPr="00ED6AE4">
        <w:rPr>
          <w:rFonts w:asciiTheme="majorBidi" w:hAnsiTheme="majorBidi" w:cstheme="majorBidi"/>
          <w:lang w:val="en-GB"/>
        </w:rPr>
        <w:t>, 29(2), 203–220.</w:t>
      </w:r>
      <w:r w:rsidRPr="00ED6AE4">
        <w:rPr>
          <w:rFonts w:asciiTheme="majorBidi" w:hAnsiTheme="majorBidi" w:cstheme="majorBidi"/>
          <w:lang w:val="en-GB"/>
        </w:rPr>
        <w:br/>
      </w:r>
      <w:hyperlink r:id="rId6" w:tgtFrame="_new" w:history="1">
        <w:r w:rsidRPr="00ED6AE4">
          <w:rPr>
            <w:rStyle w:val="Hyperlink"/>
            <w:rFonts w:asciiTheme="majorBidi" w:hAnsiTheme="majorBidi" w:cstheme="majorBidi"/>
            <w:lang w:val="en-GB"/>
          </w:rPr>
          <w:t>https://doi.org/10.1016/j.tourman.2007.07.016</w:t>
        </w:r>
      </w:hyperlink>
    </w:p>
    <w:p w14:paraId="573A48BB"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Talluri, K. T., &amp; Van Ryzin, G. J. (2004). </w:t>
      </w:r>
      <w:r w:rsidRPr="00ED6AE4">
        <w:rPr>
          <w:rFonts w:asciiTheme="majorBidi" w:hAnsiTheme="majorBidi" w:cstheme="majorBidi"/>
          <w:i/>
          <w:iCs/>
          <w:lang w:val="en-GB"/>
        </w:rPr>
        <w:t>The theory and practice of revenue management</w:t>
      </w:r>
      <w:r w:rsidRPr="00ED6AE4">
        <w:rPr>
          <w:rFonts w:asciiTheme="majorBidi" w:hAnsiTheme="majorBidi" w:cstheme="majorBidi"/>
          <w:lang w:val="en-GB"/>
        </w:rPr>
        <w:t>. Springer.</w:t>
      </w:r>
      <w:r w:rsidRPr="00ED6AE4">
        <w:rPr>
          <w:rFonts w:asciiTheme="majorBidi" w:hAnsiTheme="majorBidi" w:cstheme="majorBidi"/>
          <w:lang w:val="en-GB"/>
        </w:rPr>
        <w:br/>
        <w:t>https://doi.org/10.1007/b139000</w:t>
      </w:r>
    </w:p>
    <w:p w14:paraId="7205231E"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Guizzardi, A., &amp; </w:t>
      </w:r>
      <w:proofErr w:type="spellStart"/>
      <w:r w:rsidRPr="00ED6AE4">
        <w:rPr>
          <w:rFonts w:asciiTheme="majorBidi" w:hAnsiTheme="majorBidi" w:cstheme="majorBidi"/>
          <w:lang w:val="en-GB"/>
        </w:rPr>
        <w:t>Stacchini</w:t>
      </w:r>
      <w:proofErr w:type="spellEnd"/>
      <w:r w:rsidRPr="00ED6AE4">
        <w:rPr>
          <w:rFonts w:asciiTheme="majorBidi" w:hAnsiTheme="majorBidi" w:cstheme="majorBidi"/>
          <w:lang w:val="en-GB"/>
        </w:rPr>
        <w:t xml:space="preserve">, A. (2015). Real-time forecasting regional tourism with business sentiment surveys. </w:t>
      </w:r>
      <w:r w:rsidRPr="00ED6AE4">
        <w:rPr>
          <w:rFonts w:asciiTheme="majorBidi" w:hAnsiTheme="majorBidi" w:cstheme="majorBidi"/>
          <w:i/>
          <w:iCs/>
          <w:lang w:val="en-GB"/>
        </w:rPr>
        <w:t>Tourism Management</w:t>
      </w:r>
      <w:r w:rsidRPr="00ED6AE4">
        <w:rPr>
          <w:rFonts w:asciiTheme="majorBidi" w:hAnsiTheme="majorBidi" w:cstheme="majorBidi"/>
          <w:lang w:val="en-GB"/>
        </w:rPr>
        <w:t>, 47, 213–223.</w:t>
      </w:r>
      <w:r w:rsidRPr="00ED6AE4">
        <w:rPr>
          <w:rFonts w:asciiTheme="majorBidi" w:hAnsiTheme="majorBidi" w:cstheme="majorBidi"/>
          <w:lang w:val="en-GB"/>
        </w:rPr>
        <w:br/>
        <w:t>https://doi.org/10.1016/j.tourman.2014.09.022</w:t>
      </w:r>
    </w:p>
    <w:p w14:paraId="4A213966" w14:textId="77777777" w:rsidR="00ED6AE4" w:rsidRPr="00ED6AE4" w:rsidRDefault="00ED6AE4" w:rsidP="00ED6AE4">
      <w:pPr>
        <w:spacing w:line="480" w:lineRule="auto"/>
        <w:ind w:left="360"/>
        <w:rPr>
          <w:rFonts w:asciiTheme="majorBidi" w:hAnsiTheme="majorBidi" w:cstheme="majorBidi"/>
          <w:lang w:val="en-GB"/>
        </w:rPr>
      </w:pPr>
      <w:r w:rsidRPr="00ED6AE4">
        <w:rPr>
          <w:rFonts w:asciiTheme="majorBidi" w:hAnsiTheme="majorBidi" w:cstheme="majorBidi"/>
          <w:lang w:val="en-GB"/>
        </w:rPr>
        <w:t xml:space="preserve">Cross, R. G., Higbie, J. A., &amp; Cross, D. Q. (2011). Revenue management’s renaissance: A rebirth of the art and science of profitable revenue generation. </w:t>
      </w:r>
      <w:r w:rsidRPr="00ED6AE4">
        <w:rPr>
          <w:rFonts w:asciiTheme="majorBidi" w:hAnsiTheme="majorBidi" w:cstheme="majorBidi"/>
          <w:i/>
          <w:iCs/>
          <w:lang w:val="en-GB"/>
        </w:rPr>
        <w:t>Cornell Hospitality Quarterly</w:t>
      </w:r>
      <w:r w:rsidRPr="00ED6AE4">
        <w:rPr>
          <w:rFonts w:asciiTheme="majorBidi" w:hAnsiTheme="majorBidi" w:cstheme="majorBidi"/>
          <w:lang w:val="en-GB"/>
        </w:rPr>
        <w:t>, 52(1), 56–81.</w:t>
      </w:r>
      <w:r w:rsidRPr="00ED6AE4">
        <w:rPr>
          <w:rFonts w:asciiTheme="majorBidi" w:hAnsiTheme="majorBidi" w:cstheme="majorBidi"/>
          <w:lang w:val="en-GB"/>
        </w:rPr>
        <w:br/>
        <w:t>https://doi.org/10.1177/1938965510377456</w:t>
      </w:r>
    </w:p>
    <w:p w14:paraId="51E89044" w14:textId="77777777" w:rsidR="004C213A" w:rsidRPr="004D7D6F" w:rsidRDefault="004C213A" w:rsidP="00ED6AE4">
      <w:pPr>
        <w:spacing w:line="480" w:lineRule="auto"/>
        <w:ind w:left="360"/>
        <w:rPr>
          <w:rFonts w:asciiTheme="majorBidi" w:hAnsiTheme="majorBidi" w:cstheme="majorBidi"/>
          <w:lang w:val="en-US"/>
        </w:rPr>
      </w:pPr>
    </w:p>
    <w:p w14:paraId="502D34EF" w14:textId="77777777" w:rsidR="004C213A" w:rsidRPr="004D7D6F" w:rsidRDefault="004C213A" w:rsidP="00ED6AE4">
      <w:pPr>
        <w:spacing w:line="480" w:lineRule="auto"/>
        <w:ind w:left="360"/>
        <w:rPr>
          <w:rFonts w:asciiTheme="majorBidi" w:hAnsiTheme="majorBidi" w:cstheme="majorBidi"/>
          <w:lang w:val="en-US"/>
        </w:rPr>
      </w:pPr>
    </w:p>
    <w:p w14:paraId="55AF6D62" w14:textId="77777777" w:rsidR="004C213A" w:rsidRPr="004D7D6F" w:rsidRDefault="004C213A" w:rsidP="00ED6AE4">
      <w:pPr>
        <w:spacing w:line="480" w:lineRule="auto"/>
        <w:ind w:left="360"/>
        <w:rPr>
          <w:rFonts w:asciiTheme="majorBidi" w:hAnsiTheme="majorBidi" w:cstheme="majorBidi"/>
          <w:lang w:val="en-US"/>
        </w:rPr>
      </w:pPr>
    </w:p>
    <w:p w14:paraId="299E4439" w14:textId="77777777" w:rsidR="004C213A" w:rsidRPr="004D7D6F" w:rsidRDefault="004C213A" w:rsidP="00ED6AE4">
      <w:pPr>
        <w:spacing w:line="480" w:lineRule="auto"/>
        <w:ind w:left="360"/>
        <w:rPr>
          <w:rFonts w:asciiTheme="majorBidi" w:hAnsiTheme="majorBidi" w:cstheme="majorBidi"/>
          <w:lang w:val="en-US"/>
        </w:rPr>
      </w:pPr>
    </w:p>
    <w:p w14:paraId="5C2BB316" w14:textId="77777777" w:rsidR="004C213A" w:rsidRPr="004D7D6F" w:rsidRDefault="004C213A" w:rsidP="00ED6AE4">
      <w:pPr>
        <w:spacing w:line="480" w:lineRule="auto"/>
        <w:ind w:left="360"/>
        <w:rPr>
          <w:rFonts w:asciiTheme="majorBidi" w:hAnsiTheme="majorBidi" w:cstheme="majorBidi"/>
          <w:lang w:val="en-US"/>
        </w:rPr>
      </w:pPr>
    </w:p>
    <w:p w14:paraId="07CA4D58" w14:textId="77777777" w:rsidR="004C213A" w:rsidRPr="004D7D6F" w:rsidRDefault="004C213A" w:rsidP="00ED6AE4">
      <w:pPr>
        <w:spacing w:line="480" w:lineRule="auto"/>
        <w:ind w:left="360"/>
        <w:rPr>
          <w:rFonts w:asciiTheme="majorBidi" w:hAnsiTheme="majorBidi" w:cstheme="majorBidi"/>
          <w:lang w:val="en-US"/>
        </w:rPr>
      </w:pPr>
    </w:p>
    <w:p w14:paraId="350F684C" w14:textId="77777777" w:rsidR="004C213A" w:rsidRPr="004D7D6F" w:rsidRDefault="004C213A" w:rsidP="00ED6AE4">
      <w:pPr>
        <w:spacing w:line="480" w:lineRule="auto"/>
        <w:ind w:left="360"/>
        <w:rPr>
          <w:rFonts w:asciiTheme="majorBidi" w:hAnsiTheme="majorBidi" w:cstheme="majorBidi"/>
          <w:lang w:val="en-US"/>
        </w:rPr>
      </w:pPr>
    </w:p>
    <w:p w14:paraId="2A9BF851" w14:textId="77777777" w:rsidR="004C213A" w:rsidRPr="004D7D6F" w:rsidRDefault="004C213A" w:rsidP="00ED6AE4">
      <w:pPr>
        <w:spacing w:line="480" w:lineRule="auto"/>
        <w:ind w:left="360"/>
        <w:rPr>
          <w:rFonts w:asciiTheme="majorBidi" w:hAnsiTheme="majorBidi" w:cstheme="majorBidi"/>
          <w:lang w:val="en-US"/>
        </w:rPr>
      </w:pPr>
    </w:p>
    <w:p w14:paraId="483E864B" w14:textId="77777777" w:rsidR="004C213A" w:rsidRPr="004D7D6F" w:rsidRDefault="004C213A" w:rsidP="00ED6AE4">
      <w:pPr>
        <w:spacing w:line="480" w:lineRule="auto"/>
        <w:ind w:left="360"/>
        <w:rPr>
          <w:rFonts w:asciiTheme="majorBidi" w:hAnsiTheme="majorBidi" w:cstheme="majorBidi"/>
          <w:lang w:val="en-US"/>
        </w:rPr>
      </w:pPr>
    </w:p>
    <w:p w14:paraId="62342F2E" w14:textId="77777777" w:rsidR="004C213A" w:rsidRPr="004D7D6F" w:rsidRDefault="004C213A" w:rsidP="00ED6AE4">
      <w:pPr>
        <w:spacing w:line="480" w:lineRule="auto"/>
        <w:ind w:left="360"/>
        <w:rPr>
          <w:rFonts w:asciiTheme="majorBidi" w:hAnsiTheme="majorBidi" w:cstheme="majorBidi"/>
          <w:lang w:val="en-US"/>
        </w:rPr>
      </w:pPr>
    </w:p>
    <w:p w14:paraId="14950439" w14:textId="77777777" w:rsidR="004C213A" w:rsidRPr="004D7D6F" w:rsidRDefault="004C213A" w:rsidP="00ED6AE4">
      <w:pPr>
        <w:spacing w:line="480" w:lineRule="auto"/>
        <w:ind w:left="360"/>
        <w:rPr>
          <w:rFonts w:asciiTheme="majorBidi" w:hAnsiTheme="majorBidi" w:cstheme="majorBidi"/>
          <w:lang w:val="en-US"/>
        </w:rPr>
      </w:pPr>
    </w:p>
    <w:p w14:paraId="41F386BF" w14:textId="77777777" w:rsidR="004C213A" w:rsidRPr="004D7D6F" w:rsidRDefault="004C213A" w:rsidP="00ED6AE4">
      <w:pPr>
        <w:spacing w:line="480" w:lineRule="auto"/>
        <w:ind w:left="360"/>
        <w:rPr>
          <w:rFonts w:asciiTheme="majorBidi" w:hAnsiTheme="majorBidi" w:cstheme="majorBidi"/>
          <w:lang w:val="en-US"/>
        </w:rPr>
      </w:pPr>
    </w:p>
    <w:p w14:paraId="2D2D6E85" w14:textId="77777777" w:rsidR="004C213A" w:rsidRPr="004D7D6F" w:rsidRDefault="004C213A" w:rsidP="00ED6AE4">
      <w:pPr>
        <w:spacing w:line="480" w:lineRule="auto"/>
        <w:ind w:left="360"/>
        <w:rPr>
          <w:rFonts w:asciiTheme="majorBidi" w:hAnsiTheme="majorBidi" w:cstheme="majorBidi"/>
          <w:lang w:val="en-US"/>
        </w:rPr>
      </w:pPr>
    </w:p>
    <w:p w14:paraId="66706E84" w14:textId="77777777" w:rsidR="004C213A" w:rsidRPr="004D7D6F" w:rsidRDefault="004C213A" w:rsidP="00ED6AE4">
      <w:pPr>
        <w:spacing w:line="480" w:lineRule="auto"/>
        <w:ind w:left="360"/>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6B536E8-59D4-48E3-A871-5738C1BE7CB0}"/>
    <w:embedBold r:id="rId2" w:fontKey="{DE6EBC46-7CB5-4826-8FD1-DDAB47125BD7}"/>
    <w:embedItalic r:id="rId3" w:fontKey="{7E1A1C16-4BCE-4EFE-9590-809E73DB11A8}"/>
  </w:font>
  <w:font w:name="Cambria">
    <w:panose1 w:val="02040503050406030204"/>
    <w:charset w:val="00"/>
    <w:family w:val="roman"/>
    <w:pitch w:val="variable"/>
    <w:sig w:usb0="E00006FF" w:usb1="420024FF" w:usb2="02000000" w:usb3="00000000" w:csb0="0000019F" w:csb1="00000000"/>
    <w:embedRegular r:id="rId4" w:fontKey="{DC413F19-53A5-44E0-A1F6-3389B64838F5}"/>
  </w:font>
  <w:font w:name="Calibri Light">
    <w:panose1 w:val="020F0302020204030204"/>
    <w:charset w:val="00"/>
    <w:family w:val="swiss"/>
    <w:pitch w:val="variable"/>
    <w:sig w:usb0="E4002EFF" w:usb1="C000247B" w:usb2="00000009" w:usb3="00000000" w:csb0="000001FF" w:csb1="00000000"/>
    <w:embedRegular r:id="rId5" w:fontKey="{4AE79FD2-A222-4A16-AF86-42D54C640FD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A596F"/>
    <w:rsid w:val="004C213A"/>
    <w:rsid w:val="004D7D6F"/>
    <w:rsid w:val="00502E29"/>
    <w:rsid w:val="005E3A22"/>
    <w:rsid w:val="005E458B"/>
    <w:rsid w:val="00661030"/>
    <w:rsid w:val="007B139F"/>
    <w:rsid w:val="00844EC2"/>
    <w:rsid w:val="008516FE"/>
    <w:rsid w:val="008E3539"/>
    <w:rsid w:val="00903466"/>
    <w:rsid w:val="009122A2"/>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D6AE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ED6AE4"/>
    <w:rPr>
      <w:color w:val="0563C1" w:themeColor="hyperlink"/>
      <w:u w:val="single"/>
    </w:rPr>
  </w:style>
  <w:style w:type="character" w:styleId="UnresolvedMention">
    <w:name w:val="Unresolved Mention"/>
    <w:basedOn w:val="DefaultParagraphFont"/>
    <w:uiPriority w:val="99"/>
    <w:semiHidden/>
    <w:unhideWhenUsed/>
    <w:rsid w:val="00ED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ourman.2007.07.0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1118</Words>
  <Characters>6375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2026-01-22T01:26:00Z</dcterms:created>
  <dcterms:modified xsi:type="dcterms:W3CDTF">2026-01-22T01:26:00Z</dcterms:modified>
</cp:coreProperties>
</file>