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E037B" w14:textId="77777777" w:rsidR="004346C3" w:rsidRPr="00416524" w:rsidRDefault="004346C3" w:rsidP="004346C3">
      <w:pPr>
        <w:spacing w:line="480" w:lineRule="auto"/>
        <w:rPr>
          <w:rFonts w:ascii="Times New Roman" w:hAnsi="Times New Roman" w:cs="Times New Roman"/>
          <w:color w:val="000000" w:themeColor="text1"/>
          <w:szCs w:val="24"/>
          <w:lang w:val="en-US"/>
        </w:rPr>
      </w:pPr>
    </w:p>
    <w:p w14:paraId="55A85016" w14:textId="77777777" w:rsidR="004346C3" w:rsidRPr="00416524" w:rsidRDefault="004346C3" w:rsidP="004346C3">
      <w:pPr>
        <w:spacing w:line="480" w:lineRule="auto"/>
        <w:rPr>
          <w:rFonts w:ascii="Times New Roman" w:hAnsi="Times New Roman" w:cs="Times New Roman"/>
          <w:color w:val="000000" w:themeColor="text1"/>
          <w:szCs w:val="24"/>
          <w:lang w:val="en-US"/>
        </w:rPr>
      </w:pPr>
      <w:r w:rsidRPr="0041652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07364FCD" wp14:editId="49A01BA7">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351543FE" w14:textId="77777777" w:rsidR="004346C3" w:rsidRPr="00416524" w:rsidRDefault="004346C3" w:rsidP="004346C3">
      <w:pPr>
        <w:spacing w:line="480" w:lineRule="auto"/>
        <w:jc w:val="center"/>
        <w:rPr>
          <w:rFonts w:ascii="Times New Roman" w:hAnsi="Times New Roman" w:cs="Times New Roman"/>
          <w:color w:val="000000" w:themeColor="text1"/>
          <w:szCs w:val="24"/>
        </w:rPr>
      </w:pPr>
    </w:p>
    <w:p w14:paraId="0BDE459D" w14:textId="77777777" w:rsidR="004346C3" w:rsidRPr="00416524" w:rsidRDefault="004346C3" w:rsidP="004346C3">
      <w:pPr>
        <w:spacing w:line="480" w:lineRule="auto"/>
        <w:jc w:val="center"/>
        <w:rPr>
          <w:rFonts w:ascii="Times New Roman" w:hAnsi="Times New Roman" w:cs="Times New Roman"/>
          <w:color w:val="000000" w:themeColor="text1"/>
          <w:szCs w:val="24"/>
        </w:rPr>
      </w:pPr>
    </w:p>
    <w:p w14:paraId="69213F72" w14:textId="77777777" w:rsidR="004346C3" w:rsidRPr="00416524" w:rsidRDefault="004346C3" w:rsidP="004346C3">
      <w:pPr>
        <w:spacing w:line="480" w:lineRule="auto"/>
        <w:jc w:val="center"/>
        <w:rPr>
          <w:rFonts w:ascii="Times New Roman" w:hAnsi="Times New Roman" w:cs="Times New Roman"/>
          <w:color w:val="000000" w:themeColor="text1"/>
          <w:szCs w:val="24"/>
        </w:rPr>
      </w:pPr>
    </w:p>
    <w:p w14:paraId="3B8BE715" w14:textId="77777777" w:rsidR="004346C3" w:rsidRPr="00416524" w:rsidRDefault="004346C3" w:rsidP="004346C3">
      <w:pPr>
        <w:spacing w:line="480" w:lineRule="auto"/>
        <w:jc w:val="center"/>
        <w:rPr>
          <w:rFonts w:ascii="Times New Roman" w:hAnsi="Times New Roman" w:cs="Times New Roman"/>
          <w:b/>
          <w:bCs/>
          <w:color w:val="000000" w:themeColor="text1"/>
          <w:szCs w:val="24"/>
        </w:rPr>
      </w:pPr>
      <w:proofErr w:type="gramStart"/>
      <w:r w:rsidRPr="00416524">
        <w:rPr>
          <w:rFonts w:ascii="Times New Roman" w:hAnsi="Times New Roman" w:cs="Times New Roman"/>
          <w:b/>
          <w:bCs/>
          <w:color w:val="000000" w:themeColor="text1"/>
          <w:szCs w:val="24"/>
        </w:rPr>
        <w:t>Bachelor's</w:t>
      </w:r>
      <w:proofErr w:type="gramEnd"/>
      <w:r w:rsidRPr="00416524">
        <w:rPr>
          <w:rFonts w:ascii="Times New Roman" w:hAnsi="Times New Roman" w:cs="Times New Roman"/>
          <w:b/>
          <w:bCs/>
          <w:color w:val="000000" w:themeColor="text1"/>
          <w:szCs w:val="24"/>
        </w:rPr>
        <w:t xml:space="preserve"> in Tourism and Recreation</w:t>
      </w:r>
      <w:r w:rsidRPr="00416524">
        <w:rPr>
          <w:rFonts w:ascii="Times New Roman" w:hAnsi="Times New Roman" w:cs="Times New Roman"/>
          <w:b/>
          <w:bCs/>
          <w:color w:val="000000" w:themeColor="text1"/>
          <w:szCs w:val="24"/>
        </w:rPr>
        <w:br/>
      </w:r>
      <w:r w:rsidRPr="00416524">
        <w:rPr>
          <w:rFonts w:ascii="Times New Roman" w:hAnsi="Times New Roman" w:cs="Times New Roman"/>
          <w:b/>
          <w:bCs/>
          <w:color w:val="000000" w:themeColor="text1"/>
          <w:szCs w:val="24"/>
        </w:rPr>
        <w:br/>
      </w:r>
      <w:r>
        <w:rPr>
          <w:rFonts w:ascii="Times New Roman" w:hAnsi="Times New Roman" w:cs="Times New Roman"/>
          <w:b/>
          <w:bCs/>
          <w:color w:val="000000" w:themeColor="text1"/>
          <w:szCs w:val="24"/>
        </w:rPr>
        <w:t>Accounting Fundamentals</w:t>
      </w:r>
    </w:p>
    <w:p w14:paraId="012CF556"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134A6">
        <w:rPr>
          <w:rFonts w:ascii="Times New Roman" w:eastAsia="Times New Roman" w:hAnsi="Times New Roman" w:cs="Times New Roman"/>
          <w:b/>
          <w:bCs/>
          <w:color w:val="000000" w:themeColor="text1"/>
          <w:kern w:val="0"/>
          <w:szCs w:val="24"/>
          <w:lang w:eastAsia="en-GB"/>
          <w14:ligatures w14:val="none"/>
        </w:rPr>
        <w:t>Assignment 2: The Double-Entry System and its Impact on Financial Reporting</w:t>
      </w:r>
    </w:p>
    <w:p w14:paraId="34CC9C84"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89D373E"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25D08D9"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6293B52"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6D589BF"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9125B86" w14:textId="77777777" w:rsidR="004346C3" w:rsidRDefault="004346C3" w:rsidP="004346C3">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04DF62D" w14:textId="77777777" w:rsidR="004346C3" w:rsidRPr="00416524" w:rsidRDefault="004346C3" w:rsidP="004346C3">
      <w:pPr>
        <w:spacing w:line="480" w:lineRule="auto"/>
        <w:jc w:val="center"/>
        <w:rPr>
          <w:rFonts w:ascii="Times New Roman" w:hAnsi="Times New Roman" w:cs="Times New Roman"/>
          <w:color w:val="000000" w:themeColor="text1"/>
          <w:szCs w:val="24"/>
          <w:lang w:val="en-US"/>
        </w:rPr>
      </w:pPr>
    </w:p>
    <w:p w14:paraId="09E9F5AA" w14:textId="77777777" w:rsidR="004346C3" w:rsidRPr="00416524" w:rsidRDefault="004346C3" w:rsidP="004346C3">
      <w:pPr>
        <w:spacing w:line="480" w:lineRule="auto"/>
        <w:rPr>
          <w:rFonts w:ascii="Times New Roman" w:hAnsi="Times New Roman" w:cs="Times New Roman"/>
          <w:color w:val="000000" w:themeColor="text1"/>
          <w:szCs w:val="24"/>
          <w:lang w:val="en-US"/>
        </w:rPr>
      </w:pPr>
    </w:p>
    <w:p w14:paraId="6F824203" w14:textId="77777777" w:rsidR="004346C3" w:rsidRPr="00416524" w:rsidRDefault="004346C3" w:rsidP="004346C3">
      <w:pPr>
        <w:spacing w:line="480" w:lineRule="auto"/>
        <w:rPr>
          <w:rFonts w:ascii="Times New Roman" w:hAnsi="Times New Roman" w:cs="Times New Roman"/>
          <w:color w:val="000000" w:themeColor="text1"/>
          <w:szCs w:val="24"/>
          <w:lang w:val="en-US"/>
        </w:rPr>
      </w:pPr>
    </w:p>
    <w:p w14:paraId="732B6353" w14:textId="77777777" w:rsidR="004346C3" w:rsidRPr="00416524" w:rsidRDefault="004346C3" w:rsidP="004346C3">
      <w:pPr>
        <w:spacing w:line="480" w:lineRule="auto"/>
        <w:rPr>
          <w:rFonts w:ascii="Times New Roman" w:hAnsi="Times New Roman" w:cs="Times New Roman"/>
          <w:color w:val="000000" w:themeColor="text1"/>
          <w:szCs w:val="24"/>
          <w:lang w:val="en-US"/>
        </w:rPr>
      </w:pPr>
    </w:p>
    <w:p w14:paraId="628E5944" w14:textId="77777777" w:rsidR="004346C3" w:rsidRPr="00416524" w:rsidRDefault="004346C3" w:rsidP="004346C3">
      <w:pPr>
        <w:spacing w:line="480" w:lineRule="auto"/>
        <w:rPr>
          <w:rFonts w:ascii="Times New Roman" w:hAnsi="Times New Roman" w:cs="Times New Roman"/>
          <w:color w:val="000000" w:themeColor="text1"/>
          <w:szCs w:val="24"/>
        </w:rPr>
      </w:pPr>
      <w:bookmarkStart w:id="0" w:name="_Toc215261146"/>
      <w:r w:rsidRPr="00416524">
        <w:rPr>
          <w:rStyle w:val="Heading1Char"/>
          <w:rFonts w:ascii="Times New Roman" w:hAnsi="Times New Roman" w:cs="Times New Roman"/>
          <w:b/>
          <w:bCs/>
          <w:color w:val="000000" w:themeColor="text1"/>
          <w:sz w:val="24"/>
          <w:szCs w:val="24"/>
        </w:rPr>
        <w:lastRenderedPageBreak/>
        <w:t>Abstract</w:t>
      </w:r>
      <w:bookmarkEnd w:id="0"/>
    </w:p>
    <w:p w14:paraId="0A03781F" w14:textId="77777777" w:rsidR="004346C3" w:rsidRPr="005F14BD" w:rsidRDefault="004346C3" w:rsidP="004346C3">
      <w:pPr>
        <w:spacing w:line="480" w:lineRule="auto"/>
        <w:rPr>
          <w:rFonts w:ascii="Times New Roman" w:hAnsi="Times New Roman" w:cs="Times New Roman"/>
          <w:color w:val="000000" w:themeColor="text1"/>
          <w:szCs w:val="24"/>
        </w:rPr>
      </w:pPr>
      <w:r w:rsidRPr="005F14BD">
        <w:rPr>
          <w:rFonts w:ascii="Times New Roman" w:hAnsi="Times New Roman" w:cs="Times New Roman"/>
          <w:color w:val="000000" w:themeColor="text1"/>
          <w:szCs w:val="24"/>
        </w:rPr>
        <w:t>One of the basic systems that guarantees accuracy, consistency and reliability in financial reporting is the double-entry system of accounting. This system works on the principle that all financial transactions will involve two accounts, through which there will be a debit and credit entry in the accounting records, thus balancing them. The paper will discuss the theoretical and practical importance of the system of double-entry and the way in which that system aids in the process of accurate financial reporting. The system ensures a dynamic system of checks and balances between total debits and total credits, and this ensures that misstatements and fraud will be minimized (Weygandt et al., 2020).</w:t>
      </w:r>
    </w:p>
    <w:p w14:paraId="4223FEC0" w14:textId="77777777" w:rsidR="004346C3" w:rsidRPr="005F14BD" w:rsidRDefault="004346C3" w:rsidP="004346C3">
      <w:pPr>
        <w:spacing w:line="480" w:lineRule="auto"/>
        <w:rPr>
          <w:rFonts w:ascii="Times New Roman" w:hAnsi="Times New Roman" w:cs="Times New Roman"/>
          <w:color w:val="000000" w:themeColor="text1"/>
          <w:szCs w:val="24"/>
        </w:rPr>
      </w:pPr>
      <w:r w:rsidRPr="005F14BD">
        <w:rPr>
          <w:rFonts w:ascii="Times New Roman" w:hAnsi="Times New Roman" w:cs="Times New Roman"/>
          <w:color w:val="000000" w:themeColor="text1"/>
          <w:szCs w:val="24"/>
        </w:rPr>
        <w:t>The paper also dwells on the concept of debits and credits and how they impact different types of accounts such as assets, liabilities, equity, revenues and expenses. It is postulated in the literature that the repetitive use of the validity of the accounting records and the reliability of the financial statements provided by the balance sheet, income statement, and cash flow statement can be strengthened with the use of the principles of double-entry (</w:t>
      </w:r>
      <w:proofErr w:type="spellStart"/>
      <w:r w:rsidRPr="005F14BD">
        <w:rPr>
          <w:rFonts w:ascii="Times New Roman" w:hAnsi="Times New Roman" w:cs="Times New Roman"/>
          <w:color w:val="000000" w:themeColor="text1"/>
          <w:szCs w:val="24"/>
        </w:rPr>
        <w:t>Kieso</w:t>
      </w:r>
      <w:proofErr w:type="spellEnd"/>
      <w:r w:rsidRPr="005F14BD">
        <w:rPr>
          <w:rFonts w:ascii="Times New Roman" w:hAnsi="Times New Roman" w:cs="Times New Roman"/>
          <w:color w:val="000000" w:themeColor="text1"/>
          <w:szCs w:val="24"/>
        </w:rPr>
        <w:t xml:space="preserve"> et al., 2021). The paper also brings out how the double-entry system assists in preparing the balanced financial statements by making amendments in financial position to be recorded systematically.</w:t>
      </w:r>
    </w:p>
    <w:p w14:paraId="79F0DC25" w14:textId="77777777" w:rsidR="004346C3" w:rsidRDefault="004346C3" w:rsidP="004346C3">
      <w:pPr>
        <w:spacing w:line="480" w:lineRule="auto"/>
        <w:rPr>
          <w:rFonts w:ascii="Times New Roman" w:hAnsi="Times New Roman" w:cs="Times New Roman"/>
          <w:color w:val="000000" w:themeColor="text1"/>
          <w:szCs w:val="24"/>
        </w:rPr>
      </w:pPr>
      <w:r w:rsidRPr="005F14BD">
        <w:rPr>
          <w:rFonts w:ascii="Times New Roman" w:hAnsi="Times New Roman" w:cs="Times New Roman"/>
          <w:color w:val="000000" w:themeColor="text1"/>
          <w:szCs w:val="24"/>
        </w:rPr>
        <w:t xml:space="preserve">Moreover, the double-entry system is also addressed in the abstract as being essential in keeping the books of accounts </w:t>
      </w:r>
      <w:proofErr w:type="gramStart"/>
      <w:r w:rsidRPr="005F14BD">
        <w:rPr>
          <w:rFonts w:ascii="Times New Roman" w:hAnsi="Times New Roman" w:cs="Times New Roman"/>
          <w:color w:val="000000" w:themeColor="text1"/>
          <w:szCs w:val="24"/>
        </w:rPr>
        <w:t>accurate, and</w:t>
      </w:r>
      <w:proofErr w:type="gramEnd"/>
      <w:r w:rsidRPr="005F14BD">
        <w:rPr>
          <w:rFonts w:ascii="Times New Roman" w:hAnsi="Times New Roman" w:cs="Times New Roman"/>
          <w:color w:val="000000" w:themeColor="text1"/>
          <w:szCs w:val="24"/>
        </w:rPr>
        <w:t xml:space="preserve"> avoiding fraud by being traceable and auditable. The working transactions are illustrated by practical examples of transactions in real business situations. </w:t>
      </w:r>
      <w:proofErr w:type="gramStart"/>
      <w:r w:rsidRPr="005F14BD">
        <w:rPr>
          <w:rFonts w:ascii="Times New Roman" w:hAnsi="Times New Roman" w:cs="Times New Roman"/>
          <w:color w:val="000000" w:themeColor="text1"/>
          <w:szCs w:val="24"/>
        </w:rPr>
        <w:t>On the whole</w:t>
      </w:r>
      <w:proofErr w:type="gramEnd"/>
      <w:r w:rsidRPr="005F14BD">
        <w:rPr>
          <w:rFonts w:ascii="Times New Roman" w:hAnsi="Times New Roman" w:cs="Times New Roman"/>
          <w:color w:val="000000" w:themeColor="text1"/>
          <w:szCs w:val="24"/>
        </w:rPr>
        <w:t>, the paper clarifies that the notion of the double-entry system is not simply a mechanical accounting system but an essential system of control that is the foundation of transparency, accountability, and informed financial decision-making in contemporary organizations.</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283A73D3" w14:textId="77777777" w:rsidR="004346C3" w:rsidRPr="00015A1F" w:rsidRDefault="004346C3" w:rsidP="004346C3">
          <w:pPr>
            <w:spacing w:line="480" w:lineRule="auto"/>
            <w:rPr>
              <w:rFonts w:ascii="Times New Roman" w:hAnsi="Times New Roman" w:cs="Times New Roman"/>
              <w:i/>
              <w:iCs/>
              <w:color w:val="000000" w:themeColor="text1"/>
              <w:szCs w:val="24"/>
            </w:rPr>
          </w:pPr>
          <w:r w:rsidRPr="00015A1F">
            <w:rPr>
              <w:rFonts w:ascii="Times New Roman" w:hAnsi="Times New Roman" w:cs="Times New Roman"/>
              <w:i/>
              <w:iCs/>
              <w:color w:val="000000" w:themeColor="text1"/>
              <w:szCs w:val="24"/>
            </w:rPr>
            <w:t>Contents</w:t>
          </w:r>
        </w:p>
        <w:p w14:paraId="657A2D35"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r w:rsidRPr="00015A1F">
            <w:rPr>
              <w:rFonts w:ascii="Times New Roman" w:hAnsi="Times New Roman"/>
              <w:i/>
              <w:iCs/>
              <w:color w:val="000000" w:themeColor="text1"/>
              <w:sz w:val="24"/>
              <w:szCs w:val="24"/>
            </w:rPr>
            <w:fldChar w:fldCharType="begin"/>
          </w:r>
          <w:r w:rsidRPr="00015A1F">
            <w:rPr>
              <w:rFonts w:ascii="Times New Roman" w:hAnsi="Times New Roman"/>
              <w:i/>
              <w:iCs/>
              <w:color w:val="000000" w:themeColor="text1"/>
              <w:sz w:val="24"/>
              <w:szCs w:val="24"/>
            </w:rPr>
            <w:instrText xml:space="preserve"> TOC \o "1-3" \h \z \u </w:instrText>
          </w:r>
          <w:r w:rsidRPr="00015A1F">
            <w:rPr>
              <w:rFonts w:ascii="Times New Roman" w:hAnsi="Times New Roman"/>
              <w:i/>
              <w:iCs/>
              <w:color w:val="000000" w:themeColor="text1"/>
              <w:sz w:val="24"/>
              <w:szCs w:val="24"/>
            </w:rPr>
            <w:fldChar w:fldCharType="separate"/>
          </w:r>
          <w:hyperlink w:anchor="_Toc215261146" w:history="1">
            <w:r w:rsidRPr="00015A1F">
              <w:rPr>
                <w:rStyle w:val="Hyperlink"/>
                <w:rFonts w:ascii="Times New Roman" w:hAnsi="Times New Roman"/>
                <w:b/>
                <w:bCs/>
                <w:i/>
                <w:iCs/>
                <w:noProof/>
              </w:rPr>
              <w:t>Abstract</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_Toc215261146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w:t>
            </w:r>
            <w:r w:rsidRPr="00015A1F">
              <w:rPr>
                <w:rFonts w:ascii="Times New Roman" w:hAnsi="Times New Roman"/>
                <w:i/>
                <w:iCs/>
                <w:noProof/>
                <w:webHidden/>
              </w:rPr>
              <w:fldChar w:fldCharType="end"/>
            </w:r>
          </w:hyperlink>
        </w:p>
        <w:p w14:paraId="1B253601"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47" w:history="1">
            <w:r w:rsidRPr="00015A1F">
              <w:rPr>
                <w:rStyle w:val="Hyperlink"/>
                <w:rFonts w:ascii="Times New Roman" w:hAnsi="Times New Roman"/>
                <w:b/>
                <w:bCs/>
                <w:i/>
                <w:iCs/>
                <w:noProof/>
              </w:rPr>
              <w:t>1.Introduction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_Toc215261147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5</w:t>
            </w:r>
            <w:r w:rsidRPr="00015A1F">
              <w:rPr>
                <w:rFonts w:ascii="Times New Roman" w:hAnsi="Times New Roman"/>
                <w:i/>
                <w:iCs/>
                <w:noProof/>
                <w:webHidden/>
              </w:rPr>
              <w:fldChar w:fldCharType="end"/>
            </w:r>
          </w:hyperlink>
        </w:p>
        <w:p w14:paraId="7D957F7A"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48" w:history="1">
            <w:r w:rsidRPr="00015A1F">
              <w:rPr>
                <w:rStyle w:val="Hyperlink"/>
                <w:rFonts w:ascii="Times New Roman" w:hAnsi="Times New Roman"/>
                <w:b/>
                <w:bCs/>
                <w:i/>
                <w:iCs/>
                <w:noProof/>
              </w:rPr>
              <w:t>2. Literature Review</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_Toc215261148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7</w:t>
            </w:r>
            <w:r w:rsidRPr="00015A1F">
              <w:rPr>
                <w:rFonts w:ascii="Times New Roman" w:hAnsi="Times New Roman"/>
                <w:i/>
                <w:iCs/>
                <w:noProof/>
                <w:webHidden/>
              </w:rPr>
              <w:fldChar w:fldCharType="end"/>
            </w:r>
          </w:hyperlink>
        </w:p>
        <w:p w14:paraId="6B487795"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49" w:history="1">
            <w:r w:rsidRPr="00015A1F">
              <w:rPr>
                <w:rStyle w:val="Hyperlink"/>
                <w:rFonts w:ascii="Times New Roman" w:hAnsi="Times New Roman"/>
                <w:b/>
                <w:bCs/>
                <w:i/>
                <w:iCs/>
                <w:noProof/>
              </w:rPr>
              <w:t>3 Methodology</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_Toc215261149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13</w:t>
            </w:r>
            <w:r w:rsidRPr="00015A1F">
              <w:rPr>
                <w:rFonts w:ascii="Times New Roman" w:hAnsi="Times New Roman"/>
                <w:i/>
                <w:iCs/>
                <w:noProof/>
                <w:webHidden/>
              </w:rPr>
              <w:fldChar w:fldCharType="end"/>
            </w:r>
          </w:hyperlink>
        </w:p>
        <w:p w14:paraId="56209087"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0" w:history="1">
            <w:r w:rsidRPr="00015A1F">
              <w:rPr>
                <w:rStyle w:val="Hyperlink"/>
                <w:rFonts w:ascii="Times New Roman" w:hAnsi="Times New Roman"/>
                <w:b/>
                <w:bCs/>
                <w:i/>
                <w:iCs/>
                <w:noProof/>
              </w:rPr>
              <w:t>4 Finding</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_Toc215261150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15</w:t>
            </w:r>
            <w:r w:rsidRPr="00015A1F">
              <w:rPr>
                <w:rFonts w:ascii="Times New Roman" w:hAnsi="Times New Roman"/>
                <w:i/>
                <w:iCs/>
                <w:noProof/>
                <w:webHidden/>
              </w:rPr>
              <w:fldChar w:fldCharType="end"/>
            </w:r>
          </w:hyperlink>
        </w:p>
        <w:p w14:paraId="3A557F8F"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1" w:history="1">
            <w:r w:rsidRPr="00015A1F">
              <w:rPr>
                <w:rStyle w:val="Hyperlink"/>
                <w:rFonts w:ascii="Times New Roman" w:hAnsi="Times New Roman"/>
                <w:b/>
                <w:bCs/>
                <w:i/>
                <w:iCs/>
                <w:noProof/>
              </w:rPr>
              <w:t>5. Discussion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_Toc215261151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20</w:t>
            </w:r>
            <w:r w:rsidRPr="00015A1F">
              <w:rPr>
                <w:rFonts w:ascii="Times New Roman" w:hAnsi="Times New Roman"/>
                <w:i/>
                <w:iCs/>
                <w:noProof/>
                <w:webHidden/>
              </w:rPr>
              <w:fldChar w:fldCharType="end"/>
            </w:r>
          </w:hyperlink>
        </w:p>
        <w:p w14:paraId="7D0B55BB"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2" w:history="1">
            <w:r w:rsidRPr="00015A1F">
              <w:rPr>
                <w:rStyle w:val="Hyperlink"/>
                <w:rFonts w:ascii="Times New Roman" w:hAnsi="Times New Roman"/>
                <w:b/>
                <w:bCs/>
                <w:i/>
                <w:iCs/>
                <w:noProof/>
              </w:rPr>
              <w:t>6. Recommendation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_Toc215261152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23</w:t>
            </w:r>
            <w:r w:rsidRPr="00015A1F">
              <w:rPr>
                <w:rFonts w:ascii="Times New Roman" w:hAnsi="Times New Roman"/>
                <w:i/>
                <w:iCs/>
                <w:noProof/>
                <w:webHidden/>
              </w:rPr>
              <w:fldChar w:fldCharType="end"/>
            </w:r>
          </w:hyperlink>
        </w:p>
        <w:p w14:paraId="36E4DD65"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3" w:history="1">
            <w:r w:rsidRPr="00015A1F">
              <w:rPr>
                <w:rStyle w:val="Hyperlink"/>
                <w:rFonts w:ascii="Times New Roman" w:hAnsi="Times New Roman"/>
                <w:b/>
                <w:bCs/>
                <w:i/>
                <w:iCs/>
                <w:noProof/>
              </w:rPr>
              <w:t>8. Conclusion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_Toc215261153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25</w:t>
            </w:r>
            <w:r w:rsidRPr="00015A1F">
              <w:rPr>
                <w:rFonts w:ascii="Times New Roman" w:hAnsi="Times New Roman"/>
                <w:i/>
                <w:iCs/>
                <w:noProof/>
                <w:webHidden/>
              </w:rPr>
              <w:fldChar w:fldCharType="end"/>
            </w:r>
          </w:hyperlink>
        </w:p>
        <w:p w14:paraId="050E4C47" w14:textId="77777777" w:rsidR="004346C3" w:rsidRPr="00015A1F" w:rsidRDefault="004346C3" w:rsidP="004346C3">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4" w:history="1">
            <w:r w:rsidRPr="00015A1F">
              <w:rPr>
                <w:rStyle w:val="Hyperlink"/>
                <w:rFonts w:ascii="Times New Roman" w:hAnsi="Times New Roman"/>
                <w:b/>
                <w:bCs/>
                <w:i/>
                <w:iCs/>
                <w:noProof/>
              </w:rPr>
              <w:t>Reference List</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_Toc215261154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27</w:t>
            </w:r>
            <w:r w:rsidRPr="00015A1F">
              <w:rPr>
                <w:rFonts w:ascii="Times New Roman" w:hAnsi="Times New Roman"/>
                <w:i/>
                <w:iCs/>
                <w:noProof/>
                <w:webHidden/>
              </w:rPr>
              <w:fldChar w:fldCharType="end"/>
            </w:r>
          </w:hyperlink>
        </w:p>
        <w:p w14:paraId="1090F871" w14:textId="77777777" w:rsidR="004346C3" w:rsidRPr="00416524" w:rsidRDefault="004346C3" w:rsidP="004346C3">
          <w:pPr>
            <w:spacing w:line="480" w:lineRule="auto"/>
            <w:rPr>
              <w:rFonts w:ascii="Times New Roman" w:hAnsi="Times New Roman" w:cs="Times New Roman"/>
              <w:color w:val="000000" w:themeColor="text1"/>
              <w:szCs w:val="24"/>
            </w:rPr>
          </w:pPr>
          <w:r w:rsidRPr="00015A1F">
            <w:rPr>
              <w:rFonts w:ascii="Times New Roman" w:hAnsi="Times New Roman" w:cs="Times New Roman"/>
              <w:b/>
              <w:bCs/>
              <w:i/>
              <w:iCs/>
              <w:noProof/>
              <w:color w:val="000000" w:themeColor="text1"/>
              <w:szCs w:val="24"/>
            </w:rPr>
            <w:fldChar w:fldCharType="end"/>
          </w:r>
        </w:p>
      </w:sdtContent>
    </w:sdt>
    <w:p w14:paraId="2497C6D1" w14:textId="77777777" w:rsidR="004346C3" w:rsidRPr="00416524" w:rsidRDefault="004346C3" w:rsidP="004346C3">
      <w:pPr>
        <w:spacing w:line="480" w:lineRule="auto"/>
        <w:rPr>
          <w:rFonts w:ascii="Times New Roman" w:hAnsi="Times New Roman" w:cs="Times New Roman"/>
          <w:color w:val="000000" w:themeColor="text1"/>
          <w:szCs w:val="24"/>
        </w:rPr>
      </w:pPr>
    </w:p>
    <w:p w14:paraId="6DB30981" w14:textId="77777777" w:rsidR="004346C3" w:rsidRPr="00416524" w:rsidRDefault="004346C3" w:rsidP="004346C3">
      <w:pPr>
        <w:spacing w:line="480" w:lineRule="auto"/>
        <w:rPr>
          <w:rFonts w:ascii="Times New Roman" w:hAnsi="Times New Roman" w:cs="Times New Roman"/>
          <w:color w:val="000000" w:themeColor="text1"/>
          <w:szCs w:val="24"/>
        </w:rPr>
      </w:pPr>
    </w:p>
    <w:p w14:paraId="088081F1" w14:textId="77777777" w:rsidR="004346C3" w:rsidRPr="00416524" w:rsidRDefault="004346C3" w:rsidP="004346C3">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br w:type="page"/>
      </w:r>
    </w:p>
    <w:p w14:paraId="4505B991" w14:textId="77777777" w:rsidR="004346C3" w:rsidRPr="00994CD0" w:rsidRDefault="004346C3" w:rsidP="004346C3">
      <w:pPr>
        <w:spacing w:line="480" w:lineRule="auto"/>
        <w:rPr>
          <w:rStyle w:val="Heading1Char"/>
          <w:rFonts w:ascii="Times New Roman" w:hAnsi="Times New Roman" w:cs="Times New Roman"/>
          <w:b/>
          <w:bCs/>
          <w:color w:val="000000" w:themeColor="text1"/>
          <w:sz w:val="24"/>
          <w:szCs w:val="24"/>
        </w:rPr>
      </w:pPr>
      <w:bookmarkStart w:id="1" w:name="_Toc215261151"/>
      <w:r w:rsidRPr="00994CD0">
        <w:rPr>
          <w:rStyle w:val="Heading1Char"/>
          <w:rFonts w:ascii="Times New Roman" w:hAnsi="Times New Roman" w:cs="Times New Roman"/>
          <w:b/>
          <w:bCs/>
          <w:color w:val="000000" w:themeColor="text1"/>
          <w:sz w:val="24"/>
          <w:szCs w:val="24"/>
        </w:rPr>
        <w:lastRenderedPageBreak/>
        <w:t xml:space="preserve">1. INTRODUCTION </w:t>
      </w:r>
    </w:p>
    <w:p w14:paraId="680A3D67"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double-entry accounting system is commonly known to be one of the major advancements in accounting and financial reporting history. The system has grown out of the ancient commercial practice of recording financial transactions and is now a universal system in use in both small and large business. The principle upon which the double-entry system is built is that any transaction will create two entries whose debit and credit must be equal to create balance in the accounting records (Godfrey et al., 2010). This is the basic principle of the current accounting practice and maintains reliability and quality of financial data.</w:t>
      </w:r>
    </w:p>
    <w:p w14:paraId="6BE28057"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integrity of the financial data is one of the main strengths of the double-entry system. The system promotes detection and correction of errors through a self-balancing mechanism that is developed upon recording transactions in at least two accounts. To the extent that there are no equal total debits and equal total credits, one notices inconsistencies immediately, and seeks to investigate and correct (Weygandt et al., 2020). This characteristic renders the double-entry system to be fundamental in the maintenance of the proper books of accounts and rendering useful internal control systems.</w:t>
      </w:r>
    </w:p>
    <w:p w14:paraId="6B628755"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key ideas of the functioning of the system of two entries are the notions of debits and credits that define the system of registering transactions in various accounts. Debits and credits do not necessarily imply increases and decreases, but rather, their impact will be influenced by the kind of account being discussed. To illustrate, an increase in asset and expense accounts would be noted by debits and an increase in the liability, equity, and revenue accounts would be noted by credits (</w:t>
      </w:r>
      <w:proofErr w:type="spellStart"/>
      <w:r w:rsidRPr="004346C3">
        <w:rPr>
          <w:rFonts w:ascii="Times New Roman" w:eastAsiaTheme="majorEastAsia" w:hAnsi="Times New Roman" w:cs="Times New Roman"/>
          <w:color w:val="000000" w:themeColor="text1"/>
          <w:szCs w:val="24"/>
        </w:rPr>
        <w:t>Kieso</w:t>
      </w:r>
      <w:proofErr w:type="spellEnd"/>
      <w:r w:rsidRPr="004346C3">
        <w:rPr>
          <w:rFonts w:ascii="Times New Roman" w:eastAsiaTheme="majorEastAsia" w:hAnsi="Times New Roman" w:cs="Times New Roman"/>
          <w:color w:val="000000" w:themeColor="text1"/>
          <w:szCs w:val="24"/>
        </w:rPr>
        <w:t xml:space="preserve"> et al., 2021). Knowledge of these rules is important in making sure that transactions are properly recorded and that financial statements represent the financial position and the performance of an organization.</w:t>
      </w:r>
    </w:p>
    <w:p w14:paraId="3DEEC04A"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lastRenderedPageBreak/>
        <w:t>The double-entry system is also critical in preparation of balanced financial statements. The balance sheet is directly obtained by ledger accounts kept within the framework of the double-entry system, where the total assets are equal to the sum of liability and equity. In the same manner, a double-entry bookkeeping records the revenues and expenses to the income statement, whereas the entries require cash associated with revenues and expenses to cash flow statement (Penman, 2013). This integration underscores the value of the system in the generation of accurate and dependable financial statements.</w:t>
      </w:r>
    </w:p>
    <w:p w14:paraId="0B53ACD4"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Moreover, the double-entry system is a fundamental instrument in fraud prevention/financial accountability. The necessity to make two entries provides an audit trail that improves transparency and complicates manipulation of records by unauthorized individuals (Bushman and Smith, 2001). Due to the ever-more regulated and complicated setting of businesses, the role of effective accounting systems becomes even more significant.</w:t>
      </w:r>
    </w:p>
    <w:p w14:paraId="241A019B"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This assignment will review the details of the double-entry system, its principles, how it works, and its effects on financial reporting accuracy. The paper aims at showing how the double-entry system can remain relevant in the provision of reliable and trustworthy financial information by incorporating the theoretical viewpoints and practical illustrations.</w:t>
      </w:r>
    </w:p>
    <w:p w14:paraId="14BC60D1"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19DAECAC" w14:textId="77777777" w:rsidR="004346C3" w:rsidRDefault="004346C3" w:rsidP="004346C3">
      <w:pPr>
        <w:spacing w:line="480" w:lineRule="auto"/>
        <w:rPr>
          <w:rFonts w:ascii="Times New Roman" w:eastAsiaTheme="majorEastAsia" w:hAnsi="Times New Roman" w:cs="Times New Roman"/>
          <w:color w:val="000000" w:themeColor="text1"/>
          <w:szCs w:val="24"/>
        </w:rPr>
      </w:pPr>
    </w:p>
    <w:p w14:paraId="38E5D005" w14:textId="77777777" w:rsidR="00A43AA6" w:rsidRDefault="00A43AA6" w:rsidP="004346C3">
      <w:pPr>
        <w:spacing w:line="480" w:lineRule="auto"/>
        <w:rPr>
          <w:rFonts w:ascii="Times New Roman" w:eastAsiaTheme="majorEastAsia" w:hAnsi="Times New Roman" w:cs="Times New Roman"/>
          <w:color w:val="000000" w:themeColor="text1"/>
          <w:szCs w:val="24"/>
        </w:rPr>
      </w:pPr>
    </w:p>
    <w:p w14:paraId="790F57BF" w14:textId="77777777" w:rsidR="00A43AA6" w:rsidRDefault="00A43AA6" w:rsidP="004346C3">
      <w:pPr>
        <w:spacing w:line="480" w:lineRule="auto"/>
        <w:rPr>
          <w:rFonts w:ascii="Times New Roman" w:eastAsiaTheme="majorEastAsia" w:hAnsi="Times New Roman" w:cs="Times New Roman"/>
          <w:color w:val="000000" w:themeColor="text1"/>
          <w:szCs w:val="24"/>
        </w:rPr>
      </w:pPr>
    </w:p>
    <w:p w14:paraId="6E0EBC9A" w14:textId="77777777" w:rsidR="00A43AA6" w:rsidRPr="004346C3" w:rsidRDefault="00A43AA6" w:rsidP="004346C3">
      <w:pPr>
        <w:spacing w:line="480" w:lineRule="auto"/>
        <w:rPr>
          <w:rFonts w:ascii="Times New Roman" w:eastAsiaTheme="majorEastAsia" w:hAnsi="Times New Roman" w:cs="Times New Roman"/>
          <w:color w:val="000000" w:themeColor="text1"/>
          <w:szCs w:val="24"/>
        </w:rPr>
      </w:pPr>
    </w:p>
    <w:p w14:paraId="7EB6458B"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lastRenderedPageBreak/>
        <w:t>Literature Review</w:t>
      </w:r>
    </w:p>
    <w:p w14:paraId="3196D524"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1. The historical development of the Double-Entry System.</w:t>
      </w:r>
    </w:p>
    <w:p w14:paraId="027B926F"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double-entry accounting system is generally considered as one of the most significant innovations in the development of financial reporting. The concept of dual recording has been formally recorded in history since the work of Luca Pacioli in the late fifteenth century, in which the principles of dual recording were written down in a systematic format (</w:t>
      </w:r>
      <w:proofErr w:type="spellStart"/>
      <w:r w:rsidRPr="004346C3">
        <w:rPr>
          <w:rFonts w:ascii="Times New Roman" w:eastAsiaTheme="majorEastAsia" w:hAnsi="Times New Roman" w:cs="Times New Roman"/>
          <w:color w:val="000000" w:themeColor="text1"/>
          <w:szCs w:val="24"/>
        </w:rPr>
        <w:t>Yamey</w:t>
      </w:r>
      <w:proofErr w:type="spellEnd"/>
      <w:r w:rsidRPr="004346C3">
        <w:rPr>
          <w:rFonts w:ascii="Times New Roman" w:eastAsiaTheme="majorEastAsia" w:hAnsi="Times New Roman" w:cs="Times New Roman"/>
          <w:color w:val="000000" w:themeColor="text1"/>
          <w:szCs w:val="24"/>
        </w:rPr>
        <w:t xml:space="preserve">, 2004). Since that time, the </w:t>
      </w:r>
      <w:proofErr w:type="gramStart"/>
      <w:r w:rsidRPr="004346C3">
        <w:rPr>
          <w:rFonts w:ascii="Times New Roman" w:eastAsiaTheme="majorEastAsia" w:hAnsi="Times New Roman" w:cs="Times New Roman"/>
          <w:color w:val="000000" w:themeColor="text1"/>
          <w:szCs w:val="24"/>
        </w:rPr>
        <w:t>two entry</w:t>
      </w:r>
      <w:proofErr w:type="gramEnd"/>
      <w:r w:rsidRPr="004346C3">
        <w:rPr>
          <w:rFonts w:ascii="Times New Roman" w:eastAsiaTheme="majorEastAsia" w:hAnsi="Times New Roman" w:cs="Times New Roman"/>
          <w:color w:val="000000" w:themeColor="text1"/>
          <w:szCs w:val="24"/>
        </w:rPr>
        <w:t xml:space="preserve"> system has remained the base of the accounting practice in modern times, and it offers a systematized approach of recording the financial transactions in a balanced and rational format.</w:t>
      </w:r>
    </w:p>
    <w:p w14:paraId="59AD6352"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According to scholars, the introduction of double-entry bookkeeping represented the transition between the simplicity of record-keeping and the full-fledged system of financial measurements that could be used to ensure the expansion of the business and its responsiveness (Littleton, 1966). It is highlighted in modern accounting literature as important to note that the system remains relevant over time because it can represent the two aspects of economic impact of transactions and as a result, the material of the financial records will be the allocation of resources as well as the origin of the funds (Godfrey et al., 2010).</w:t>
      </w:r>
    </w:p>
    <w:p w14:paraId="6BC82711"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788FA5B1"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2. Theoretical Foundations of Double-Entry Accounting.</w:t>
      </w:r>
    </w:p>
    <w:p w14:paraId="39D47482"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The conceptual basis of the double-entry system lies in the dual-aspect concept which states that there are two equal effects of any financial transaction on the financial position of an entity. This principle is directly linked to the accounting equation, according to which the assets should always be equal to the total sum of the liabilities and equity (Weygandt et al., 2020). This </w:t>
      </w:r>
      <w:r w:rsidRPr="004346C3">
        <w:rPr>
          <w:rFonts w:ascii="Times New Roman" w:eastAsiaTheme="majorEastAsia" w:hAnsi="Times New Roman" w:cs="Times New Roman"/>
          <w:color w:val="000000" w:themeColor="text1"/>
          <w:szCs w:val="24"/>
        </w:rPr>
        <w:lastRenderedPageBreak/>
        <w:t xml:space="preserve">relationship is always recognized in literature as necessary to ensure that there </w:t>
      </w:r>
      <w:proofErr w:type="gramStart"/>
      <w:r w:rsidRPr="004346C3">
        <w:rPr>
          <w:rFonts w:ascii="Times New Roman" w:eastAsiaTheme="majorEastAsia" w:hAnsi="Times New Roman" w:cs="Times New Roman"/>
          <w:color w:val="000000" w:themeColor="text1"/>
          <w:szCs w:val="24"/>
        </w:rPr>
        <w:t>is</w:t>
      </w:r>
      <w:proofErr w:type="gramEnd"/>
      <w:r w:rsidRPr="004346C3">
        <w:rPr>
          <w:rFonts w:ascii="Times New Roman" w:eastAsiaTheme="majorEastAsia" w:hAnsi="Times New Roman" w:cs="Times New Roman"/>
          <w:color w:val="000000" w:themeColor="text1"/>
          <w:szCs w:val="24"/>
        </w:rPr>
        <w:t xml:space="preserve"> a balance and internal consistency in the accounting books.</w:t>
      </w:r>
    </w:p>
    <w:p w14:paraId="268666C9"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Researchers suggest that the double-entry system facilitates logical organization of accounting as it establishes the cause-and-effect relationships in transactions. Indicatively, purchasing an asset via credit does not only raise the assets but also the liabilities, maintaining the balance (</w:t>
      </w:r>
      <w:proofErr w:type="spellStart"/>
      <w:r w:rsidRPr="004346C3">
        <w:rPr>
          <w:rFonts w:ascii="Times New Roman" w:eastAsiaTheme="majorEastAsia" w:hAnsi="Times New Roman" w:cs="Times New Roman"/>
          <w:color w:val="000000" w:themeColor="text1"/>
          <w:szCs w:val="24"/>
        </w:rPr>
        <w:t>Kieso</w:t>
      </w:r>
      <w:proofErr w:type="spellEnd"/>
      <w:r w:rsidRPr="004346C3">
        <w:rPr>
          <w:rFonts w:ascii="Times New Roman" w:eastAsiaTheme="majorEastAsia" w:hAnsi="Times New Roman" w:cs="Times New Roman"/>
          <w:color w:val="000000" w:themeColor="text1"/>
          <w:szCs w:val="24"/>
        </w:rPr>
        <w:t xml:space="preserve"> et al., 2021). This dual recognition has been considered as a critical way of ensuring that the financial statements reflect the economic reality as opposed to isolated happenings.</w:t>
      </w:r>
    </w:p>
    <w:p w14:paraId="0D21F268"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6A5D3AE6"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3. Financial Transactions: Debits and Credits.</w:t>
      </w:r>
    </w:p>
    <w:p w14:paraId="15A96F76"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There is a rich collection of accounting literature devoted to the operational mechanism of the system of double-entry, debits, and credits. The significance of debits and credits does not depend either on value or lack thereof; rather, they indicate the directional movement of financial impacts based on the classification of accounts (Libby et al., 2017). Debits increase the assets and expenses, credits increase the liabilities, equity, and revenues.</w:t>
      </w:r>
    </w:p>
    <w:p w14:paraId="2025B68B"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The academic literatures highlight the importance of appropriate knowledge of debit and credit rules </w:t>
      </w:r>
      <w:proofErr w:type="gramStart"/>
      <w:r w:rsidRPr="004346C3">
        <w:rPr>
          <w:rFonts w:ascii="Times New Roman" w:eastAsiaTheme="majorEastAsia" w:hAnsi="Times New Roman" w:cs="Times New Roman"/>
          <w:color w:val="000000" w:themeColor="text1"/>
          <w:szCs w:val="24"/>
        </w:rPr>
        <w:t>in order to</w:t>
      </w:r>
      <w:proofErr w:type="gramEnd"/>
      <w:r w:rsidRPr="004346C3">
        <w:rPr>
          <w:rFonts w:ascii="Times New Roman" w:eastAsiaTheme="majorEastAsia" w:hAnsi="Times New Roman" w:cs="Times New Roman"/>
          <w:color w:val="000000" w:themeColor="text1"/>
          <w:szCs w:val="24"/>
        </w:rPr>
        <w:t xml:space="preserve"> make proper recording of transactions and prepare financial statements. Misstatements that can cause misinterpretation of reported financial performance and position may be caused by mistakes in the application of debit-credit (Penman, 2013). Another important point the literature raises is that the uniformity of the use of debit and credit concepts allows the consistency of organizations and accounting periods, which facilitates comparability and transparency.</w:t>
      </w:r>
    </w:p>
    <w:p w14:paraId="61D8C092"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53608538"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38E38990"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0C213973"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4. Accuracy of Financial Reporting and Double-Entry System.</w:t>
      </w:r>
    </w:p>
    <w:p w14:paraId="71A5A5F9"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literature is solid that the double-entry system adds accuracy and reliability of financial reporting. Its major strengths include the inbuilt self-balancing, where the total debits must be equal to total credits. This capability allows identifying recording mistakes and omissions early on and minimizes the risks of having incorrect financial reports (Weygandt et al., 2020).</w:t>
      </w:r>
    </w:p>
    <w:p w14:paraId="7ADD404F"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Empirical research indicates that organizations with strong double-entry systems are found to have greater accounting accuracy and internal control efficacy (Bushman and Smith, 2001). The system enables the auditing of financial information through keeping these ledger accounts and cross-checking them in a systematic manner. This is especially significant when it comes to external stakeholders who use financial statements in making investment, lending, and regulatory decisions.</w:t>
      </w:r>
    </w:p>
    <w:p w14:paraId="14F90479"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302D4D7B"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5. Balanced Financial Statement Preparation.</w:t>
      </w:r>
    </w:p>
    <w:p w14:paraId="55023203"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other significant theme of the literature is the role of the double-entry system in aiding to prepare balanced fiscal statements. The direct result of the two-entry bookkeeping is a balance sheet, which indicates the equality of assets and summed claims of the liabilities and equity (</w:t>
      </w:r>
      <w:proofErr w:type="spellStart"/>
      <w:r w:rsidRPr="004346C3">
        <w:rPr>
          <w:rFonts w:ascii="Times New Roman" w:eastAsiaTheme="majorEastAsia" w:hAnsi="Times New Roman" w:cs="Times New Roman"/>
          <w:color w:val="000000" w:themeColor="text1"/>
          <w:szCs w:val="24"/>
        </w:rPr>
        <w:t>Kieso</w:t>
      </w:r>
      <w:proofErr w:type="spellEnd"/>
      <w:r w:rsidRPr="004346C3">
        <w:rPr>
          <w:rFonts w:ascii="Times New Roman" w:eastAsiaTheme="majorEastAsia" w:hAnsi="Times New Roman" w:cs="Times New Roman"/>
          <w:color w:val="000000" w:themeColor="text1"/>
          <w:szCs w:val="24"/>
        </w:rPr>
        <w:t xml:space="preserve"> et al., 2021). In the absence of the double-entry structure, this balance would be much harder to maintain.</w:t>
      </w:r>
    </w:p>
    <w:p w14:paraId="50457E1F"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lastRenderedPageBreak/>
        <w:t xml:space="preserve">Income statement is also directly interconnected with double-entry accounting as revenues and expenses are registered in a consistent manner </w:t>
      </w:r>
      <w:proofErr w:type="gramStart"/>
      <w:r w:rsidRPr="004346C3">
        <w:rPr>
          <w:rFonts w:ascii="Times New Roman" w:eastAsiaTheme="majorEastAsia" w:hAnsi="Times New Roman" w:cs="Times New Roman"/>
          <w:color w:val="000000" w:themeColor="text1"/>
          <w:szCs w:val="24"/>
        </w:rPr>
        <w:t>by the way of</w:t>
      </w:r>
      <w:proofErr w:type="gramEnd"/>
      <w:r w:rsidRPr="004346C3">
        <w:rPr>
          <w:rFonts w:ascii="Times New Roman" w:eastAsiaTheme="majorEastAsia" w:hAnsi="Times New Roman" w:cs="Times New Roman"/>
          <w:color w:val="000000" w:themeColor="text1"/>
          <w:szCs w:val="24"/>
        </w:rPr>
        <w:t xml:space="preserve"> debit and credit entries. Research shows that proper measurement of income requires that the principles of double-entry be always in practice especially in </w:t>
      </w:r>
      <w:proofErr w:type="gramStart"/>
      <w:r w:rsidRPr="004346C3">
        <w:rPr>
          <w:rFonts w:ascii="Times New Roman" w:eastAsiaTheme="majorEastAsia" w:hAnsi="Times New Roman" w:cs="Times New Roman"/>
          <w:color w:val="000000" w:themeColor="text1"/>
          <w:szCs w:val="24"/>
        </w:rPr>
        <w:t>accrual based</w:t>
      </w:r>
      <w:proofErr w:type="gramEnd"/>
      <w:r w:rsidRPr="004346C3">
        <w:rPr>
          <w:rFonts w:ascii="Times New Roman" w:eastAsiaTheme="majorEastAsia" w:hAnsi="Times New Roman" w:cs="Times New Roman"/>
          <w:color w:val="000000" w:themeColor="text1"/>
          <w:szCs w:val="24"/>
        </w:rPr>
        <w:t xml:space="preserve"> reporting systems (Dechow and Dichev, 2002). Moreover, the cash flow statement is based on the cash-related entries that are registered in the double-entry system, which supports the interdependence of financial statements (Penman, 2013).</w:t>
      </w:r>
    </w:p>
    <w:p w14:paraId="15044DB8"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6126593E"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6. Internal Control and Fraud Prevention Role.</w:t>
      </w:r>
    </w:p>
    <w:p w14:paraId="173A91B8"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It is generally accepted in the literature that the double-entry system is essential in terms of its role in internal control and fraud prevention. The system enhances transparency and accountability in the accounting records because the system requires two entries and an audit trail (Bushman and Smith, 2001). Hacking into a single account to effect unauthorized changes will probably lead to imbalances and hence it is easier to identify the manipulation.</w:t>
      </w:r>
    </w:p>
    <w:p w14:paraId="3CF4EC6D"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Studies indicate that the dual-entry bookkeeping facilitates good auditing as they avail clear records of the flow of transactions and account combinations (Healy and Palepu, 2001). This is especially useful when the organisation is large with complicated transactions and the effective control mechanisms are needed to ensure the safety of assets and enhance the trust of stakeholders.</w:t>
      </w:r>
    </w:p>
    <w:p w14:paraId="1B1EEE5D"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0CAB1452"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7. Experiential Learning of Double-Entry Accounting.</w:t>
      </w:r>
    </w:p>
    <w:p w14:paraId="1A37398D"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lastRenderedPageBreak/>
        <w:t>Practical accounting material emphasizes on the common use of the system of doubles entry within industries and organization of any size. Big or small, the system offers a uniform way to record business transactions like sales, purchases, payroll, and financing transactions (Libby et al., 2017). Case-based research shows that regular implementation of the principles of a dual-entry enhances monetary discipline and reporting correctness.</w:t>
      </w:r>
    </w:p>
    <w:p w14:paraId="53A78CB2"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The flexibility of the double-entry system in the contemporary accounting setting, such as computerized accounting systems and enterprise resource planning (ERP) systems, is also highlighted in the literature. Although technology changes, the principles of debits and credits never disappear, and it is important to note that the system is relevant forever (Romney and </w:t>
      </w:r>
      <w:proofErr w:type="spellStart"/>
      <w:r w:rsidRPr="004346C3">
        <w:rPr>
          <w:rFonts w:ascii="Times New Roman" w:eastAsiaTheme="majorEastAsia" w:hAnsi="Times New Roman" w:cs="Times New Roman"/>
          <w:color w:val="000000" w:themeColor="text1"/>
          <w:szCs w:val="24"/>
        </w:rPr>
        <w:t>Steinbart</w:t>
      </w:r>
      <w:proofErr w:type="spellEnd"/>
      <w:r w:rsidRPr="004346C3">
        <w:rPr>
          <w:rFonts w:ascii="Times New Roman" w:eastAsiaTheme="majorEastAsia" w:hAnsi="Times New Roman" w:cs="Times New Roman"/>
          <w:color w:val="000000" w:themeColor="text1"/>
          <w:szCs w:val="24"/>
        </w:rPr>
        <w:t>, 2021).</w:t>
      </w:r>
    </w:p>
    <w:p w14:paraId="5DCD6486"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2B965D0B"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8. Relevance in the Modern Accounting Practice.</w:t>
      </w:r>
    </w:p>
    <w:p w14:paraId="427C4C35"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Altogether, the literature under consideration confirms that the double-entry system is still the key to the modern accounting practice. All its theoretical foundations, working mechanisms, and control capabilities promote credible financial reporting and informed decision-making. It is continuously contended by scholars that in the absence of the double-entry system, the contemporary financial accounting would not be in the structure and credibility necessary to facilitate intricate business practices and regulations (Godfrey et al., 2010).</w:t>
      </w:r>
    </w:p>
    <w:p w14:paraId="35846598"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333A57FA"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p>
    <w:p w14:paraId="604DF0E7"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Methodology </w:t>
      </w:r>
    </w:p>
    <w:p w14:paraId="291FBB04"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lastRenderedPageBreak/>
        <w:t xml:space="preserve">This research uses a conceptual research design based on qualitative study to explore the issue of double-entry system of accounting and the effects on the accuracy, reliability, and prevention of financial reporting fraud. The qualitative approach would suit this assignment since the study aims at explaining and interpreting the existing accounting principles, as opposed to testing the hypothesis by </w:t>
      </w:r>
      <w:proofErr w:type="spellStart"/>
      <w:r w:rsidRPr="004346C3">
        <w:rPr>
          <w:rFonts w:ascii="Times New Roman" w:eastAsiaTheme="majorEastAsia" w:hAnsi="Times New Roman" w:cs="Times New Roman"/>
          <w:color w:val="000000" w:themeColor="text1"/>
          <w:szCs w:val="24"/>
        </w:rPr>
        <w:t>analyzing</w:t>
      </w:r>
      <w:proofErr w:type="spellEnd"/>
      <w:r w:rsidRPr="004346C3">
        <w:rPr>
          <w:rFonts w:ascii="Times New Roman" w:eastAsiaTheme="majorEastAsia" w:hAnsi="Times New Roman" w:cs="Times New Roman"/>
          <w:color w:val="000000" w:themeColor="text1"/>
          <w:szCs w:val="24"/>
        </w:rPr>
        <w:t xml:space="preserve"> quantitative data. Conceptual research is common within the accounting research </w:t>
      </w:r>
      <w:proofErr w:type="gramStart"/>
      <w:r w:rsidRPr="004346C3">
        <w:rPr>
          <w:rFonts w:ascii="Times New Roman" w:eastAsiaTheme="majorEastAsia" w:hAnsi="Times New Roman" w:cs="Times New Roman"/>
          <w:color w:val="000000" w:themeColor="text1"/>
          <w:szCs w:val="24"/>
        </w:rPr>
        <w:t>in order to</w:t>
      </w:r>
      <w:proofErr w:type="gramEnd"/>
      <w:r w:rsidRPr="004346C3">
        <w:rPr>
          <w:rFonts w:ascii="Times New Roman" w:eastAsiaTheme="majorEastAsia" w:hAnsi="Times New Roman" w:cs="Times New Roman"/>
          <w:color w:val="000000" w:themeColor="text1"/>
          <w:szCs w:val="24"/>
        </w:rPr>
        <w:t xml:space="preserve"> be able to synthesize the theoretical knowledge and provide an explanation of how the accounting systems are being applied in practice (Godfrey et al., 2010).</w:t>
      </w:r>
    </w:p>
    <w:p w14:paraId="41564DE9"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The study relies wholly on secondary sources of data, such as peer-reviewed academic journal articles, reputable accounting textbooks, professional books and accounting standards published by established standard setting agencies. Google Scholar and academic databases like Scopus and Web of Science were used to identify literature that is relevant. Special attention was paid to sources that have Digital Object Identifiers (DOIs) to assure academic validity, traceability, and reliability. The application of academic literature makes it possible to gain a complete picture of the theoretical underpinning and practical implications of the double-entry system (</w:t>
      </w:r>
      <w:proofErr w:type="spellStart"/>
      <w:r w:rsidRPr="004346C3">
        <w:rPr>
          <w:rFonts w:ascii="Times New Roman" w:eastAsiaTheme="majorEastAsia" w:hAnsi="Times New Roman" w:cs="Times New Roman"/>
          <w:color w:val="000000" w:themeColor="text1"/>
          <w:szCs w:val="24"/>
        </w:rPr>
        <w:t>Tranfield</w:t>
      </w:r>
      <w:proofErr w:type="spellEnd"/>
      <w:r w:rsidRPr="004346C3">
        <w:rPr>
          <w:rFonts w:ascii="Times New Roman" w:eastAsiaTheme="majorEastAsia" w:hAnsi="Times New Roman" w:cs="Times New Roman"/>
          <w:color w:val="000000" w:themeColor="text1"/>
          <w:szCs w:val="24"/>
        </w:rPr>
        <w:t xml:space="preserve"> et al., 2003).</w:t>
      </w:r>
    </w:p>
    <w:p w14:paraId="26F7CC19"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An efficient literature review method was used to gather and examine the sources. Relevant studies were located using keywords like the following: double-entry accounting, debits and credits, financial reporting accuracy, internal control, and fraud prevention. Relevance to the study objectives, the quality of publication and contribution to accounting theory and practice were used to screen the selected literature. Such a systematic process of selection minimizes bias and makes the findings stronger (Booth et al., 2016).</w:t>
      </w:r>
    </w:p>
    <w:p w14:paraId="0B5D9681"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The analysis was done through thematic analysis approach, which entailed determining consistent themes and patterns in the literature. Themes covered the dual-aspect concept, debits </w:t>
      </w:r>
      <w:r w:rsidRPr="004346C3">
        <w:rPr>
          <w:rFonts w:ascii="Times New Roman" w:eastAsiaTheme="majorEastAsia" w:hAnsi="Times New Roman" w:cs="Times New Roman"/>
          <w:color w:val="000000" w:themeColor="text1"/>
          <w:szCs w:val="24"/>
        </w:rPr>
        <w:lastRenderedPageBreak/>
        <w:t>and credits as well as how to prepare balanced financial statements and the significance of a double-entry system in internal control and fraud prevention. Thematic analysis allows combining different views and comparing them critically with various academic points of view (Braun and Clarke, 2006).</w:t>
      </w:r>
    </w:p>
    <w:p w14:paraId="206387EA" w14:textId="77777777" w:rsidR="004346C3" w:rsidRP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Besides theoretical coverage, the methodology involved illustrative transaction cases that were used </w:t>
      </w:r>
      <w:proofErr w:type="gramStart"/>
      <w:r w:rsidRPr="004346C3">
        <w:rPr>
          <w:rFonts w:ascii="Times New Roman" w:eastAsiaTheme="majorEastAsia" w:hAnsi="Times New Roman" w:cs="Times New Roman"/>
          <w:color w:val="000000" w:themeColor="text1"/>
          <w:szCs w:val="24"/>
        </w:rPr>
        <w:t>as a result of</w:t>
      </w:r>
      <w:proofErr w:type="gramEnd"/>
      <w:r w:rsidRPr="004346C3">
        <w:rPr>
          <w:rFonts w:ascii="Times New Roman" w:eastAsiaTheme="majorEastAsia" w:hAnsi="Times New Roman" w:cs="Times New Roman"/>
          <w:color w:val="000000" w:themeColor="text1"/>
          <w:szCs w:val="24"/>
        </w:rPr>
        <w:t xml:space="preserve"> reading in textbooks of accounting, and published case studies. The following were examples of how the common business transactions are recorded using the double-entry system including cash sales, credit purchases, and expense payments. The practical illustrations provided also reinforce the connection between theory and the practical accounting applications in the real-world and increases the explanatory power of the research (Libby et al., 2017).</w:t>
      </w:r>
    </w:p>
    <w:p w14:paraId="3AD69657" w14:textId="2561E690" w:rsidR="004346C3" w:rsidRDefault="004346C3" w:rsidP="004346C3">
      <w:pPr>
        <w:spacing w:line="480" w:lineRule="auto"/>
        <w:rPr>
          <w:rFonts w:ascii="Times New Roman" w:eastAsiaTheme="majorEastAsia" w:hAnsi="Times New Roman" w:cs="Times New Roman"/>
          <w:color w:val="000000" w:themeColor="text1"/>
          <w:szCs w:val="24"/>
        </w:rPr>
      </w:pPr>
      <w:r w:rsidRPr="004346C3">
        <w:rPr>
          <w:rFonts w:ascii="Times New Roman" w:eastAsiaTheme="majorEastAsia" w:hAnsi="Times New Roman" w:cs="Times New Roman"/>
          <w:color w:val="000000" w:themeColor="text1"/>
          <w:szCs w:val="24"/>
        </w:rPr>
        <w:t xml:space="preserve">Ethical issues were also considered by making sure that all sources used had to be cited as well as the source properly acknowledged following the APA 7 </w:t>
      </w:r>
      <w:proofErr w:type="spellStart"/>
      <w:r w:rsidRPr="004346C3">
        <w:rPr>
          <w:rFonts w:ascii="Times New Roman" w:eastAsiaTheme="majorEastAsia" w:hAnsi="Times New Roman" w:cs="Times New Roman"/>
          <w:color w:val="000000" w:themeColor="text1"/>
          <w:szCs w:val="24"/>
        </w:rPr>
        <w:t>th</w:t>
      </w:r>
      <w:proofErr w:type="spellEnd"/>
      <w:r w:rsidRPr="004346C3">
        <w:rPr>
          <w:rFonts w:ascii="Times New Roman" w:eastAsiaTheme="majorEastAsia" w:hAnsi="Times New Roman" w:cs="Times New Roman"/>
          <w:color w:val="000000" w:themeColor="text1"/>
          <w:szCs w:val="24"/>
        </w:rPr>
        <w:t xml:space="preserve"> edition referencing guidelines. Since the research only used publicly available secondary data, there was no need to seek ethical approval or consenting of the participants. Altogether, this methodological tool is a systematic and academically sound way of exploring the importance of the double-entry system in ensuring the correct accounting records and facilitating the use of reliable financial reporting.</w:t>
      </w:r>
    </w:p>
    <w:p w14:paraId="6D7F5B23" w14:textId="77777777" w:rsidR="004346C3" w:rsidRDefault="004346C3" w:rsidP="004346C3">
      <w:pPr>
        <w:spacing w:line="480" w:lineRule="auto"/>
        <w:rPr>
          <w:rFonts w:ascii="Times New Roman" w:eastAsiaTheme="majorEastAsia" w:hAnsi="Times New Roman" w:cs="Times New Roman"/>
          <w:color w:val="000000" w:themeColor="text1"/>
          <w:szCs w:val="24"/>
        </w:rPr>
      </w:pPr>
    </w:p>
    <w:p w14:paraId="56D37ACF" w14:textId="77777777" w:rsidR="004346C3" w:rsidRDefault="004346C3" w:rsidP="004346C3">
      <w:pPr>
        <w:spacing w:line="480" w:lineRule="auto"/>
        <w:rPr>
          <w:rFonts w:ascii="Times New Roman" w:eastAsiaTheme="majorEastAsia" w:hAnsi="Times New Roman" w:cs="Times New Roman"/>
          <w:color w:val="000000" w:themeColor="text1"/>
          <w:szCs w:val="24"/>
        </w:rPr>
      </w:pPr>
    </w:p>
    <w:p w14:paraId="1A67589D" w14:textId="77777777" w:rsidR="004346C3" w:rsidRDefault="004346C3" w:rsidP="004346C3">
      <w:pPr>
        <w:spacing w:line="480" w:lineRule="auto"/>
        <w:rPr>
          <w:rFonts w:ascii="Times New Roman" w:eastAsiaTheme="majorEastAsia" w:hAnsi="Times New Roman" w:cs="Times New Roman"/>
          <w:color w:val="000000" w:themeColor="text1"/>
          <w:szCs w:val="24"/>
        </w:rPr>
      </w:pPr>
    </w:p>
    <w:p w14:paraId="4B2E0E8A" w14:textId="77777777" w:rsidR="004346C3" w:rsidRDefault="004346C3" w:rsidP="004346C3">
      <w:pPr>
        <w:spacing w:line="480" w:lineRule="auto"/>
        <w:rPr>
          <w:rFonts w:ascii="Times New Roman" w:eastAsiaTheme="majorEastAsia" w:hAnsi="Times New Roman" w:cs="Times New Roman"/>
          <w:color w:val="000000" w:themeColor="text1"/>
          <w:szCs w:val="24"/>
        </w:rPr>
      </w:pPr>
    </w:p>
    <w:p w14:paraId="22197CDB" w14:textId="77777777" w:rsidR="004346C3" w:rsidRDefault="004346C3" w:rsidP="004346C3">
      <w:pPr>
        <w:spacing w:line="480" w:lineRule="auto"/>
        <w:rPr>
          <w:rFonts w:ascii="Times New Roman" w:eastAsiaTheme="majorEastAsia" w:hAnsi="Times New Roman" w:cs="Times New Roman"/>
          <w:color w:val="000000" w:themeColor="text1"/>
          <w:szCs w:val="24"/>
        </w:rPr>
      </w:pPr>
    </w:p>
    <w:p w14:paraId="1DBC684D" w14:textId="77777777" w:rsidR="004346C3" w:rsidRDefault="004346C3" w:rsidP="004346C3">
      <w:pPr>
        <w:spacing w:line="480" w:lineRule="auto"/>
        <w:rPr>
          <w:rStyle w:val="Heading1Char"/>
          <w:rFonts w:ascii="Times New Roman" w:hAnsi="Times New Roman" w:cs="Times New Roman"/>
          <w:color w:val="000000" w:themeColor="text1"/>
          <w:sz w:val="24"/>
          <w:szCs w:val="24"/>
        </w:rPr>
      </w:pPr>
    </w:p>
    <w:bookmarkEnd w:id="1"/>
    <w:p w14:paraId="5552633E" w14:textId="77777777" w:rsidR="004346C3" w:rsidRDefault="004346C3" w:rsidP="004346C3">
      <w:pPr>
        <w:spacing w:line="480" w:lineRule="auto"/>
        <w:rPr>
          <w:rStyle w:val="Heading1Char"/>
          <w:rFonts w:ascii="Times New Roman" w:hAnsi="Times New Roman" w:cs="Times New Roman"/>
          <w:color w:val="000000" w:themeColor="text1"/>
          <w:sz w:val="24"/>
          <w:szCs w:val="24"/>
        </w:rPr>
      </w:pPr>
    </w:p>
    <w:p w14:paraId="206616F8" w14:textId="77777777" w:rsidR="00A43AA6" w:rsidRDefault="004346C3" w:rsidP="00A43AA6">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t>Findings</w:t>
      </w:r>
      <w:bookmarkStart w:id="2" w:name="_Toc215261154"/>
      <w:r w:rsidR="00A43AA6">
        <w:rPr>
          <w:rStyle w:val="Heading1Char"/>
          <w:rFonts w:ascii="Times New Roman" w:hAnsi="Times New Roman" w:cs="Times New Roman"/>
          <w:b/>
          <w:bCs/>
          <w:color w:val="000000" w:themeColor="text1"/>
          <w:sz w:val="24"/>
          <w:szCs w:val="24"/>
        </w:rPr>
        <w:t xml:space="preserve"> </w:t>
      </w:r>
    </w:p>
    <w:p w14:paraId="19A8E9D8" w14:textId="77777777" w:rsidR="00A43AA6" w:rsidRDefault="00A43AA6" w:rsidP="00A43AA6">
      <w:pPr>
        <w:spacing w:line="480" w:lineRule="auto"/>
        <w:rPr>
          <w:rFonts w:ascii="Times New Roman" w:hAnsi="Times New Roman" w:cs="Times New Roman"/>
          <w:color w:val="000000" w:themeColor="text1"/>
          <w:szCs w:val="24"/>
        </w:rPr>
      </w:pPr>
      <w:r w:rsidRPr="00A43AA6">
        <w:rPr>
          <w:rFonts w:ascii="Times New Roman" w:hAnsi="Times New Roman" w:cs="Times New Roman"/>
          <w:color w:val="000000" w:themeColor="text1"/>
          <w:szCs w:val="24"/>
        </w:rPr>
        <w:t>The research results of this paper are based on a systematic review of the accounting literature and have shown that, the double-entry system is a core mechanism to ensure accuracy, reliability, and transparency of financial reports. The analysis shows that the main advantage of the double-entry system is the dual-recording structure that presupposes recording every transaction with debit and credit entries. The structure allows maintaining accounting records in balance and internal consistency at any time (Weygandt et al., 2020).</w:t>
      </w:r>
    </w:p>
    <w:p w14:paraId="51D0D87D" w14:textId="77777777" w:rsidR="00A43AA6" w:rsidRDefault="00A43AA6" w:rsidP="00A43AA6">
      <w:pPr>
        <w:spacing w:line="480" w:lineRule="auto"/>
        <w:rPr>
          <w:rFonts w:ascii="Times New Roman" w:hAnsi="Times New Roman" w:cs="Times New Roman"/>
          <w:color w:val="000000" w:themeColor="text1"/>
          <w:szCs w:val="24"/>
        </w:rPr>
      </w:pPr>
      <w:r w:rsidRPr="00A43AA6">
        <w:rPr>
          <w:rFonts w:ascii="Times New Roman" w:hAnsi="Times New Roman" w:cs="Times New Roman"/>
          <w:color w:val="000000" w:themeColor="text1"/>
          <w:szCs w:val="24"/>
        </w:rPr>
        <w:t>Among the major findings is that the accuracy of financial records is greatly increased by the double-entry system. Since at least two accounts are involved in every transaction, errors like omissions, duplications or erroneous postings are easier to identify when the total debits are not the same as the total credits. According to the literature, this self-balancing feature is a kind of internal control that enhances the reliability of accounting information and minimizes the chances of material misstatements in financial reports (</w:t>
      </w:r>
      <w:proofErr w:type="spellStart"/>
      <w:r w:rsidRPr="00A43AA6">
        <w:rPr>
          <w:rFonts w:ascii="Times New Roman" w:hAnsi="Times New Roman" w:cs="Times New Roman"/>
          <w:color w:val="000000" w:themeColor="text1"/>
          <w:szCs w:val="24"/>
        </w:rPr>
        <w:t>Kieso</w:t>
      </w:r>
      <w:proofErr w:type="spellEnd"/>
      <w:r w:rsidRPr="00A43AA6">
        <w:rPr>
          <w:rFonts w:ascii="Times New Roman" w:hAnsi="Times New Roman" w:cs="Times New Roman"/>
          <w:color w:val="000000" w:themeColor="text1"/>
          <w:szCs w:val="24"/>
        </w:rPr>
        <w:t xml:space="preserve"> et al., 2021).</w:t>
      </w:r>
    </w:p>
    <w:p w14:paraId="141CBC74" w14:textId="5ED94FA2" w:rsidR="00A43AA6" w:rsidRPr="00A43AA6" w:rsidRDefault="00A43AA6" w:rsidP="00A43AA6">
      <w:pPr>
        <w:spacing w:line="480" w:lineRule="auto"/>
        <w:rPr>
          <w:rFonts w:ascii="Times New Roman" w:eastAsiaTheme="majorEastAsia" w:hAnsi="Times New Roman" w:cs="Times New Roman"/>
          <w:b/>
          <w:bCs/>
          <w:color w:val="000000" w:themeColor="text1"/>
          <w:szCs w:val="24"/>
        </w:rPr>
      </w:pPr>
      <w:r w:rsidRPr="00A43AA6">
        <w:rPr>
          <w:rFonts w:ascii="Times New Roman" w:hAnsi="Times New Roman" w:cs="Times New Roman"/>
          <w:color w:val="000000" w:themeColor="text1"/>
          <w:szCs w:val="24"/>
        </w:rPr>
        <w:t>The results also indicate that the proper use of debits and credits is the key to the successful working of the double-entry system. Research indicates that to record transactions accurately, it is important to understand the impacts of debits and credits on various types of accounts: assets, liabilities, equity, revenues and expenses (Libby et al., 2017). Recording debit and credit transactions may be misclassified which may alter financial statements resulting in inaccurate estimates of profitability and financial position. Thus, the literature highlights the significance of accounting knowledge and training in ensuring high quality of financial records.</w:t>
      </w:r>
    </w:p>
    <w:p w14:paraId="2D765747"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lastRenderedPageBreak/>
        <w:t>The role of the double-entry system in the preparation of balanced financial statements is also another significant discovery. The consequences of the double-entry bookkeeping are directly reflected in the balance sheet, which always keeps the assets equal to the liabilities plus the equity (Penman, 2013). On the same note, the revenues and expenses which are accrued using debit and credit entries appear in the income statement and the cash entries help one to prepare the cash flow statement. The results prove that in the absence of the double entry system, it would be very hard to ensure consistency and logical connection between various financial statements (Dechow and Dichev, 2002).</w:t>
      </w:r>
    </w:p>
    <w:p w14:paraId="2FFF0DEB"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 xml:space="preserve">The research also concludes that the double-entry system is very important in ensuring that the books of account are kept in right accuracy </w:t>
      </w:r>
      <w:proofErr w:type="gramStart"/>
      <w:r w:rsidRPr="00A43AA6">
        <w:rPr>
          <w:rFonts w:ascii="Times New Roman" w:hAnsi="Times New Roman" w:cs="Times New Roman"/>
          <w:color w:val="000000" w:themeColor="text1"/>
          <w:sz w:val="24"/>
          <w:szCs w:val="24"/>
        </w:rPr>
        <w:t>and also</w:t>
      </w:r>
      <w:proofErr w:type="gramEnd"/>
      <w:r w:rsidRPr="00A43AA6">
        <w:rPr>
          <w:rFonts w:ascii="Times New Roman" w:hAnsi="Times New Roman" w:cs="Times New Roman"/>
          <w:color w:val="000000" w:themeColor="text1"/>
          <w:sz w:val="24"/>
          <w:szCs w:val="24"/>
        </w:rPr>
        <w:t xml:space="preserve"> the internal controls. Through the development of an elaborate audit trail of every transaction, the system enables accountants and auditors to follow the financial events of the source documents to the end financial statements. According to literature, such traceability promotes greater accountability and promotes efficient auditing processes and especially in large and complicated organizations (Bushman and Smith, 2001).</w:t>
      </w:r>
    </w:p>
    <w:p w14:paraId="66C5C304"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Another important finding is fraud prevention. The literature shows that two entries require result in fraudulent manipulation being harder since fraudulent alteration in one account is likely to give rise to imbalance or discrepancy in other parts of the accounting system (Healy and Palepu, 2001). Although the double-entry system by itself cannot prevent fraud, it can be considered a powerful underlying control system that can facilitate more comprehensive governance and risk management systems.</w:t>
      </w:r>
    </w:p>
    <w:p w14:paraId="4BD757B4"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lastRenderedPageBreak/>
        <w:t xml:space="preserve">Furthermore, the practicality of the double-entry system in different business settings is also pointed out by the findings. Examples of transactions, which have been discussed in the literature, including cash sales, credit purchases, wage payment, and loan repayment, illustrate the consistent nature of the system in ensuring that both the origin and application of funds are recorded. Such uniformity enhances financial discipline and makes accounting records reflect the real economic effect of business operations (Romney and </w:t>
      </w:r>
      <w:proofErr w:type="spellStart"/>
      <w:r w:rsidRPr="00A43AA6">
        <w:rPr>
          <w:rFonts w:ascii="Times New Roman" w:hAnsi="Times New Roman" w:cs="Times New Roman"/>
          <w:color w:val="000000" w:themeColor="text1"/>
          <w:sz w:val="24"/>
          <w:szCs w:val="24"/>
        </w:rPr>
        <w:t>Steinbart</w:t>
      </w:r>
      <w:proofErr w:type="spellEnd"/>
      <w:r w:rsidRPr="00A43AA6">
        <w:rPr>
          <w:rFonts w:ascii="Times New Roman" w:hAnsi="Times New Roman" w:cs="Times New Roman"/>
          <w:color w:val="000000" w:themeColor="text1"/>
          <w:sz w:val="24"/>
          <w:szCs w:val="24"/>
        </w:rPr>
        <w:t>, 2021).</w:t>
      </w:r>
    </w:p>
    <w:p w14:paraId="11995B5D" w14:textId="613D0BCB"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In general, the results support the idea that the double-entry system is still invaluable in the accounting practice of the modern world. The fact that it maintains balanced records, facilitates accurate financial reporting, and promotes internal control stresses its remaining applicability to both the conventional and computerized accounting contexts.</w:t>
      </w:r>
    </w:p>
    <w:p w14:paraId="4352B9FB"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 xml:space="preserve">Discussion </w:t>
      </w:r>
    </w:p>
    <w:p w14:paraId="57B598B1"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The results of this research point to the primary importance of the double-entry system as the way of making financial reporting accurate, reliable, and transparent. As it is continuously shown in the literature, the necessity of equal debit and credit entries constitutes a self-balancing process that enhances the quality of accounting records. This organizational aspect is important in minimizing the risk of unnoticed error cases and helps to prepare credible financial reports (Weygandt et al., 2020).</w:t>
      </w:r>
    </w:p>
    <w:p w14:paraId="6CAF9537"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lastRenderedPageBreak/>
        <w:t>The discussion also highlights the value of proper application of debit and credit rules in various types of accounts. Its improper use may skew reported financial performance and position, and thus, technical competence and professional judgment should be valued in accounting practice (Libby et al., 2017). The systemic reinvestment of the dual impacts of transactions by the double-entry system ensures that financial reporting is of the use of economic substance as opposed to isolated cash flows hence enhancing the usefulness of decision-making by the stakeholders (Penman, 2013).</w:t>
      </w:r>
    </w:p>
    <w:p w14:paraId="26FC53CC"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 xml:space="preserve">The other important point of conversation is the role played by the double-entry system in internal control and prevention of fraud. Although the system itself </w:t>
      </w:r>
      <w:proofErr w:type="gramStart"/>
      <w:r w:rsidRPr="00A43AA6">
        <w:rPr>
          <w:rFonts w:ascii="Times New Roman" w:hAnsi="Times New Roman" w:cs="Times New Roman"/>
          <w:color w:val="000000" w:themeColor="text1"/>
          <w:sz w:val="24"/>
          <w:szCs w:val="24"/>
        </w:rPr>
        <w:t>is not able to</w:t>
      </w:r>
      <w:proofErr w:type="gramEnd"/>
      <w:r w:rsidRPr="00A43AA6">
        <w:rPr>
          <w:rFonts w:ascii="Times New Roman" w:hAnsi="Times New Roman" w:cs="Times New Roman"/>
          <w:color w:val="000000" w:themeColor="text1"/>
          <w:sz w:val="24"/>
          <w:szCs w:val="24"/>
        </w:rPr>
        <w:t xml:space="preserve"> prevent the fraudulent </w:t>
      </w:r>
      <w:proofErr w:type="spellStart"/>
      <w:r w:rsidRPr="00A43AA6">
        <w:rPr>
          <w:rFonts w:ascii="Times New Roman" w:hAnsi="Times New Roman" w:cs="Times New Roman"/>
          <w:color w:val="000000" w:themeColor="text1"/>
          <w:sz w:val="24"/>
          <w:szCs w:val="24"/>
        </w:rPr>
        <w:t>behavior</w:t>
      </w:r>
      <w:proofErr w:type="spellEnd"/>
      <w:r w:rsidRPr="00A43AA6">
        <w:rPr>
          <w:rFonts w:ascii="Times New Roman" w:hAnsi="Times New Roman" w:cs="Times New Roman"/>
          <w:color w:val="000000" w:themeColor="text1"/>
          <w:sz w:val="24"/>
          <w:szCs w:val="24"/>
        </w:rPr>
        <w:t xml:space="preserve">, its dual-recording option and audit trail makes the traceability and accountability much stronger (Bushman and Smith, 2001). This complicates unauthorized manipulation and aids proper auditing and governance systems. The principles of double-entry bookkeeping remain the basis of automated controls and error checks in modern computerized accounting settings (Romney and </w:t>
      </w:r>
      <w:proofErr w:type="spellStart"/>
      <w:r w:rsidRPr="00A43AA6">
        <w:rPr>
          <w:rFonts w:ascii="Times New Roman" w:hAnsi="Times New Roman" w:cs="Times New Roman"/>
          <w:color w:val="000000" w:themeColor="text1"/>
          <w:sz w:val="24"/>
          <w:szCs w:val="24"/>
        </w:rPr>
        <w:t>Steinbart</w:t>
      </w:r>
      <w:proofErr w:type="spellEnd"/>
      <w:r w:rsidRPr="00A43AA6">
        <w:rPr>
          <w:rFonts w:ascii="Times New Roman" w:hAnsi="Times New Roman" w:cs="Times New Roman"/>
          <w:color w:val="000000" w:themeColor="text1"/>
          <w:sz w:val="24"/>
          <w:szCs w:val="24"/>
        </w:rPr>
        <w:t>, 2021).</w:t>
      </w:r>
    </w:p>
    <w:p w14:paraId="3927737B"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In general, the discussion establishes that the double-entry system continues to be a vital control framework, which underlies reliable financial reporting and contributes to informed economic decision-making.</w:t>
      </w:r>
    </w:p>
    <w:p w14:paraId="3985FC44" w14:textId="77777777" w:rsidR="00A43AA6" w:rsidRDefault="00A43AA6" w:rsidP="00A43AA6">
      <w:pPr>
        <w:pStyle w:val="Heading1"/>
        <w:spacing w:line="480" w:lineRule="auto"/>
        <w:rPr>
          <w:rFonts w:ascii="Times New Roman" w:hAnsi="Times New Roman" w:cs="Times New Roman"/>
          <w:color w:val="000000" w:themeColor="text1"/>
          <w:sz w:val="24"/>
          <w:szCs w:val="24"/>
        </w:rPr>
      </w:pPr>
    </w:p>
    <w:p w14:paraId="5B0EC8DF" w14:textId="77777777" w:rsidR="00A43AA6" w:rsidRPr="00A43AA6" w:rsidRDefault="00A43AA6" w:rsidP="00A43AA6"/>
    <w:p w14:paraId="642B9A96"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lastRenderedPageBreak/>
        <w:t xml:space="preserve">Recommendations </w:t>
      </w:r>
    </w:p>
    <w:p w14:paraId="77D65D2E"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Concluding on the analysis of the double-entry system and its effects on financial reporting, it is possible to suggest some recommendations to facilitate the accounting practices and improve the credibility of financial data in organizations.</w:t>
      </w:r>
    </w:p>
    <w:p w14:paraId="75C1B51A"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To start with, proper training on principles of the two-step bookkeeping, especially how debits and credits can be properly applied in various categories of accounts, should be reinforced in organizations. A failure to classify debit and credit properly may present falsified financial statements and bad decision making. Periodic training and updating of accounting personnel will be used to make sure that the recording of transactions is accurate and consistent particularly in institutions where staff turnover or system upgrades have been experienced.</w:t>
      </w:r>
    </w:p>
    <w:p w14:paraId="234DAF57"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p>
    <w:p w14:paraId="764C710C"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Second, companies ought to combine the two-entry system with effective internal control systems. Although the double-entry system offers a self-balancing mechanism, its efficiency is enhanced when used with the segregation of duties, authorization controls and frequent reconciliations. The management must make sure that all functions of transaction recording, approval and review be separated to minimize chances of errors and fraud. Internal checks should also be conducted periodically to check the integrity of ledger accounts and adherence to accounting standards.</w:t>
      </w:r>
    </w:p>
    <w:p w14:paraId="6D99CE65"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lastRenderedPageBreak/>
        <w:t>Third, it is advised that organizations capitalize on accounting software with strong theoretical underpinnings of the double-entry concepts. Enterprise resource planning (ERP) systems and modern computerized accounting systems automate debit and credit entries and minimize manual errors and enhance efficiency. Nevertheless, the management should also be careful to ensure the system settings are per the accounting standards and automated processes should be regularly checked to avoid systemic errors.</w:t>
      </w:r>
    </w:p>
    <w:p w14:paraId="408FEE67"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 xml:space="preserve">Educationally and professionally, accounting schools </w:t>
      </w:r>
      <w:proofErr w:type="gramStart"/>
      <w:r w:rsidRPr="00A43AA6">
        <w:rPr>
          <w:rFonts w:ascii="Times New Roman" w:hAnsi="Times New Roman" w:cs="Times New Roman"/>
          <w:color w:val="000000" w:themeColor="text1"/>
          <w:sz w:val="24"/>
          <w:szCs w:val="24"/>
        </w:rPr>
        <w:t>have to</w:t>
      </w:r>
      <w:proofErr w:type="gramEnd"/>
      <w:r w:rsidRPr="00A43AA6">
        <w:rPr>
          <w:rFonts w:ascii="Times New Roman" w:hAnsi="Times New Roman" w:cs="Times New Roman"/>
          <w:color w:val="000000" w:themeColor="text1"/>
          <w:sz w:val="24"/>
          <w:szCs w:val="24"/>
        </w:rPr>
        <w:t xml:space="preserve"> be more focused on understanding the concepts and less on the mechanical recording. Learning the economic motivation behind the double-entry system, including the dual-aspect concept and its connection to the accounting equation, develops analytical skills and makes learners ready to be engaged in more complicated real-life situations.</w:t>
      </w:r>
    </w:p>
    <w:p w14:paraId="6CB9CD0B" w14:textId="77777777" w:rsid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Lastly, best practices and ethical standards in bookkeeping and financial reporting need to be furthered by regulatory and professional agencies. The role of the double-entry system in guaranteeing the provision of transparent, accurate and trustworthy financial reporting will be further enhanced by clear guidelines, professional codes of conduct and the ongoing requirements of continuous professional development.</w:t>
      </w:r>
    </w:p>
    <w:p w14:paraId="4596661F" w14:textId="77777777" w:rsidR="00A43AA6" w:rsidRDefault="00A43AA6" w:rsidP="00A43AA6"/>
    <w:p w14:paraId="4D0C2E40" w14:textId="77777777" w:rsidR="00A43AA6" w:rsidRPr="00A43AA6" w:rsidRDefault="00A43AA6" w:rsidP="00A43AA6"/>
    <w:p w14:paraId="2EFC00DB"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lastRenderedPageBreak/>
        <w:t xml:space="preserve">Conclusion </w:t>
      </w:r>
    </w:p>
    <w:p w14:paraId="14B98DBB" w14:textId="77777777" w:rsidR="00A43AA6" w:rsidRP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This assignment has discussed the concept of a double-entry accounting system and its effect on the accuracy and reliability of financial reporting. The review shows that the key element of modern-day accounting practice is that the system of double-entry ensures balance in the accounting records by providing the dual acknowledgement of all financial transactions. The system ensures better detection of errors, internal controls, and increased credibility of the financial statements by ensuring that both total debits and total credits are equal.</w:t>
      </w:r>
    </w:p>
    <w:p w14:paraId="326D4938" w14:textId="77777777" w:rsidR="00A43AA6" w:rsidRDefault="00A43AA6" w:rsidP="00A43AA6">
      <w:pPr>
        <w:pStyle w:val="Heading1"/>
        <w:spacing w:line="480" w:lineRule="auto"/>
        <w:rPr>
          <w:rFonts w:ascii="Times New Roman" w:hAnsi="Times New Roman" w:cs="Times New Roman"/>
          <w:color w:val="000000" w:themeColor="text1"/>
          <w:sz w:val="24"/>
          <w:szCs w:val="24"/>
        </w:rPr>
      </w:pPr>
      <w:r w:rsidRPr="00A43AA6">
        <w:rPr>
          <w:rFonts w:ascii="Times New Roman" w:hAnsi="Times New Roman" w:cs="Times New Roman"/>
          <w:color w:val="000000" w:themeColor="text1"/>
          <w:sz w:val="24"/>
          <w:szCs w:val="24"/>
        </w:rPr>
        <w:t>The research paper proves that proper accountancy requires a clear knowledge of the debits and credits to record transactions and prepare balanced financial statements. The double-entry system is also crucial in the prevention of frauds through the establishment of a transparent auditing trail and the strengthening of accountability in the accounting systems. Although accounting technology has improved, the concept of the double-entry bookkeeping has not changed and still forms the basis of computerized and automated accounting systems. To sum up, the double-entry system is not only a technical process of record-keeping, but a core system that facilitates transparency, accountability, and informed decision-making. This relevance is a reminder of both the significance of good accounting knowledge and ethical conduct to ensure sound financial reporting in the current business world.</w:t>
      </w:r>
    </w:p>
    <w:p w14:paraId="55820174" w14:textId="77777777" w:rsidR="00A43AA6" w:rsidRDefault="00A43AA6" w:rsidP="00A43AA6">
      <w:pPr>
        <w:pStyle w:val="Heading1"/>
        <w:spacing w:line="480" w:lineRule="auto"/>
        <w:rPr>
          <w:rFonts w:ascii="Times New Roman" w:hAnsi="Times New Roman" w:cs="Times New Roman"/>
          <w:color w:val="000000" w:themeColor="text1"/>
          <w:sz w:val="24"/>
          <w:szCs w:val="24"/>
        </w:rPr>
      </w:pPr>
    </w:p>
    <w:p w14:paraId="50E78E06" w14:textId="77777777" w:rsidR="00A43AA6" w:rsidRDefault="00A43AA6" w:rsidP="00A43AA6">
      <w:pPr>
        <w:pStyle w:val="Heading1"/>
        <w:spacing w:line="480" w:lineRule="auto"/>
        <w:rPr>
          <w:rFonts w:ascii="Times New Roman" w:hAnsi="Times New Roman" w:cs="Times New Roman"/>
          <w:color w:val="000000" w:themeColor="text1"/>
          <w:sz w:val="24"/>
          <w:szCs w:val="24"/>
        </w:rPr>
      </w:pPr>
    </w:p>
    <w:p w14:paraId="674D372C" w14:textId="77777777" w:rsidR="00A43AA6" w:rsidRDefault="00A43AA6" w:rsidP="00A43AA6">
      <w:pPr>
        <w:pStyle w:val="Heading1"/>
        <w:spacing w:line="480" w:lineRule="auto"/>
        <w:rPr>
          <w:rFonts w:ascii="Times New Roman" w:hAnsi="Times New Roman" w:cs="Times New Roman"/>
          <w:color w:val="000000" w:themeColor="text1"/>
          <w:sz w:val="24"/>
          <w:szCs w:val="24"/>
        </w:rPr>
      </w:pPr>
    </w:p>
    <w:p w14:paraId="7ECCB7D0" w14:textId="77777777" w:rsidR="00A43AA6" w:rsidRDefault="00A43AA6" w:rsidP="00A43AA6">
      <w:pPr>
        <w:pStyle w:val="Heading1"/>
        <w:spacing w:line="480" w:lineRule="auto"/>
        <w:rPr>
          <w:rFonts w:ascii="Times New Roman" w:hAnsi="Times New Roman" w:cs="Times New Roman"/>
          <w:color w:val="000000" w:themeColor="text1"/>
          <w:sz w:val="24"/>
          <w:szCs w:val="24"/>
        </w:rPr>
      </w:pPr>
    </w:p>
    <w:p w14:paraId="6AB2CE01" w14:textId="184A8B3F" w:rsidR="004346C3" w:rsidRPr="00416524" w:rsidRDefault="004346C3" w:rsidP="00A43AA6">
      <w:pPr>
        <w:pStyle w:val="Heading1"/>
        <w:spacing w:line="480" w:lineRule="auto"/>
        <w:rPr>
          <w:rFonts w:ascii="Times New Roman" w:hAnsi="Times New Roman" w:cs="Times New Roman"/>
          <w:b/>
          <w:bCs/>
          <w:color w:val="000000" w:themeColor="text1"/>
          <w:sz w:val="24"/>
          <w:szCs w:val="24"/>
        </w:rPr>
      </w:pPr>
      <w:r w:rsidRPr="00416524">
        <w:rPr>
          <w:rFonts w:ascii="Times New Roman" w:hAnsi="Times New Roman" w:cs="Times New Roman"/>
          <w:b/>
          <w:bCs/>
          <w:color w:val="000000" w:themeColor="text1"/>
          <w:sz w:val="24"/>
          <w:szCs w:val="24"/>
        </w:rPr>
        <w:t>Reference List</w:t>
      </w:r>
      <w:bookmarkEnd w:id="2"/>
      <w:r w:rsidRPr="00416524">
        <w:rPr>
          <w:rFonts w:ascii="Times New Roman" w:hAnsi="Times New Roman" w:cs="Times New Roman"/>
          <w:b/>
          <w:bCs/>
          <w:color w:val="000000" w:themeColor="text1"/>
          <w:sz w:val="24"/>
          <w:szCs w:val="24"/>
        </w:rPr>
        <w:t xml:space="preserve"> </w:t>
      </w:r>
    </w:p>
    <w:p w14:paraId="6895FD03"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Ball, R., Kothari, S. P., &amp; Robin, A. (2000). The effect of international institutional factors on properties of accounting earnings. </w:t>
      </w:r>
      <w:r w:rsidRPr="00B75C48">
        <w:rPr>
          <w:rFonts w:ascii="Times New Roman" w:hAnsi="Times New Roman" w:cs="Times New Roman"/>
          <w:i/>
          <w:iCs/>
          <w:szCs w:val="24"/>
        </w:rPr>
        <w:t>Journal of Accounting and Economics, 29</w:t>
      </w:r>
      <w:r w:rsidRPr="00B75C48">
        <w:rPr>
          <w:rFonts w:ascii="Times New Roman" w:hAnsi="Times New Roman" w:cs="Times New Roman"/>
          <w:szCs w:val="24"/>
        </w:rPr>
        <w:t>(1), 1–51. https://doi.org/10.1016/S0165-4101(00)00012-4</w:t>
      </w:r>
    </w:p>
    <w:p w14:paraId="5D185792"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Bushman, R. M., &amp; Smith, A. J. (2001). Financial accounting information and corporate governance. </w:t>
      </w:r>
      <w:r w:rsidRPr="00B75C48">
        <w:rPr>
          <w:rFonts w:ascii="Times New Roman" w:hAnsi="Times New Roman" w:cs="Times New Roman"/>
          <w:i/>
          <w:iCs/>
          <w:szCs w:val="24"/>
        </w:rPr>
        <w:t>Journal of Accounting and Economics, 32</w:t>
      </w:r>
      <w:r w:rsidRPr="00B75C48">
        <w:rPr>
          <w:rFonts w:ascii="Times New Roman" w:hAnsi="Times New Roman" w:cs="Times New Roman"/>
          <w:szCs w:val="24"/>
        </w:rPr>
        <w:t>(1–3), 237–333. https://doi.org/10.1016/S0165-4101(01)00027-1</w:t>
      </w:r>
    </w:p>
    <w:p w14:paraId="09E46312"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Dechow, P. M., &amp; Dichev, I. D. (2002). The quality of accruals and earnings: The role of accrual estimation errors. </w:t>
      </w:r>
      <w:r w:rsidRPr="00B75C48">
        <w:rPr>
          <w:rFonts w:ascii="Times New Roman" w:hAnsi="Times New Roman" w:cs="Times New Roman"/>
          <w:i/>
          <w:iCs/>
          <w:szCs w:val="24"/>
        </w:rPr>
        <w:t>The Accounting Review, 77</w:t>
      </w:r>
      <w:r w:rsidRPr="00B75C48">
        <w:rPr>
          <w:rFonts w:ascii="Times New Roman" w:hAnsi="Times New Roman" w:cs="Times New Roman"/>
          <w:szCs w:val="24"/>
        </w:rPr>
        <w:t>(Supplement), 35–59. https://doi.org/10.2308/accr.2002.77.s-1.35</w:t>
      </w:r>
    </w:p>
    <w:p w14:paraId="19B953A7"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Dechow, P. M., Ge, W., &amp; Schrand, C. (2010). Understanding earnings quality. </w:t>
      </w:r>
      <w:r w:rsidRPr="00B75C48">
        <w:rPr>
          <w:rFonts w:ascii="Times New Roman" w:hAnsi="Times New Roman" w:cs="Times New Roman"/>
          <w:i/>
          <w:iCs/>
          <w:szCs w:val="24"/>
        </w:rPr>
        <w:t>Journal of Accounting and Economics, 50</w:t>
      </w:r>
      <w:r w:rsidRPr="00B75C48">
        <w:rPr>
          <w:rFonts w:ascii="Times New Roman" w:hAnsi="Times New Roman" w:cs="Times New Roman"/>
          <w:szCs w:val="24"/>
        </w:rPr>
        <w:t>(2–3), 344–401. https://doi.org/10.1016/j.jacceco.2010.01.001</w:t>
      </w:r>
    </w:p>
    <w:p w14:paraId="75CAE44A"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Dichev, I. D., &amp; Tang, V. W. (2008). Matching and the changing properties of accounting earnings over time. </w:t>
      </w:r>
      <w:r w:rsidRPr="00B75C48">
        <w:rPr>
          <w:rFonts w:ascii="Times New Roman" w:hAnsi="Times New Roman" w:cs="Times New Roman"/>
          <w:i/>
          <w:iCs/>
          <w:szCs w:val="24"/>
        </w:rPr>
        <w:t>Journal of Accounting Research, 46</w:t>
      </w:r>
      <w:r w:rsidRPr="00B75C48">
        <w:rPr>
          <w:rFonts w:ascii="Times New Roman" w:hAnsi="Times New Roman" w:cs="Times New Roman"/>
          <w:szCs w:val="24"/>
        </w:rPr>
        <w:t>(5), 1421–1460. https://doi.org/10.1111/j.1475-679X.2008.00305.x</w:t>
      </w:r>
    </w:p>
    <w:p w14:paraId="03A4D4B0"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Donelson, D. C., Jennings, R., &amp; McInnis, J. (2011). Changes over time in the revenue–expense relation: Accounting or economics? </w:t>
      </w:r>
      <w:r w:rsidRPr="00B75C48">
        <w:rPr>
          <w:rFonts w:ascii="Times New Roman" w:hAnsi="Times New Roman" w:cs="Times New Roman"/>
          <w:i/>
          <w:iCs/>
          <w:szCs w:val="24"/>
        </w:rPr>
        <w:t>The Accounting Review, 86</w:t>
      </w:r>
      <w:r w:rsidRPr="00B75C48">
        <w:rPr>
          <w:rFonts w:ascii="Times New Roman" w:hAnsi="Times New Roman" w:cs="Times New Roman"/>
          <w:szCs w:val="24"/>
        </w:rPr>
        <w:t xml:space="preserve">(6), 2021–2047. </w:t>
      </w:r>
      <w:hyperlink r:id="rId5" w:tgtFrame="_new" w:history="1">
        <w:r w:rsidRPr="00B75C48">
          <w:rPr>
            <w:rStyle w:val="Hyperlink"/>
            <w:rFonts w:ascii="Times New Roman" w:hAnsi="Times New Roman" w:cs="Times New Roman"/>
            <w:szCs w:val="24"/>
          </w:rPr>
          <w:t>https://doi.org/10.2308/accr-10102</w:t>
        </w:r>
      </w:hyperlink>
    </w:p>
    <w:p w14:paraId="65800355"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Godfrey, J., Hodgson, A., Tarca, A., Hamilton, J., &amp; Holmes, S. (2010). </w:t>
      </w:r>
      <w:r w:rsidRPr="00B75C48">
        <w:rPr>
          <w:rFonts w:ascii="Times New Roman" w:hAnsi="Times New Roman" w:cs="Times New Roman"/>
          <w:i/>
          <w:iCs/>
          <w:szCs w:val="24"/>
        </w:rPr>
        <w:t>Accounting theory</w:t>
      </w:r>
      <w:r w:rsidRPr="00B75C48">
        <w:rPr>
          <w:rFonts w:ascii="Times New Roman" w:hAnsi="Times New Roman" w:cs="Times New Roman"/>
          <w:szCs w:val="24"/>
        </w:rPr>
        <w:t xml:space="preserve"> (7th ed.). Wiley.</w:t>
      </w:r>
    </w:p>
    <w:p w14:paraId="7B0CB1D6"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lastRenderedPageBreak/>
        <w:t xml:space="preserve">Healy, P. M., &amp; Palepu, K. G. (2001). Information asymmetry, corporate disclosure, and the capital markets. </w:t>
      </w:r>
      <w:r w:rsidRPr="00B75C48">
        <w:rPr>
          <w:rFonts w:ascii="Times New Roman" w:hAnsi="Times New Roman" w:cs="Times New Roman"/>
          <w:i/>
          <w:iCs/>
          <w:szCs w:val="24"/>
        </w:rPr>
        <w:t>Journal of Accounting and Economics, 31</w:t>
      </w:r>
      <w:r w:rsidRPr="00B75C48">
        <w:rPr>
          <w:rFonts w:ascii="Times New Roman" w:hAnsi="Times New Roman" w:cs="Times New Roman"/>
          <w:szCs w:val="24"/>
        </w:rPr>
        <w:t>(1–3), 405–440. https://doi.org/10.1016/S0165-4101(01)00018-0</w:t>
      </w:r>
    </w:p>
    <w:p w14:paraId="310F5667"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Healy, P. M., &amp; Wahlen, J. M. (1999). A review of the earnings management literature and its implications for standard setting. </w:t>
      </w:r>
      <w:r w:rsidRPr="00B75C48">
        <w:rPr>
          <w:rFonts w:ascii="Times New Roman" w:hAnsi="Times New Roman" w:cs="Times New Roman"/>
          <w:i/>
          <w:iCs/>
          <w:szCs w:val="24"/>
        </w:rPr>
        <w:t>Accounting Horizons, 13</w:t>
      </w:r>
      <w:r w:rsidRPr="00B75C48">
        <w:rPr>
          <w:rFonts w:ascii="Times New Roman" w:hAnsi="Times New Roman" w:cs="Times New Roman"/>
          <w:szCs w:val="24"/>
        </w:rPr>
        <w:t>(4), 365–383. https://doi.org/10.2308/acch.1999.13.4.365</w:t>
      </w:r>
    </w:p>
    <w:p w14:paraId="34728A68" w14:textId="77777777" w:rsidR="004346C3" w:rsidRPr="00B75C48" w:rsidRDefault="004346C3" w:rsidP="004346C3">
      <w:pPr>
        <w:spacing w:line="480" w:lineRule="auto"/>
        <w:rPr>
          <w:rFonts w:ascii="Times New Roman" w:hAnsi="Times New Roman" w:cs="Times New Roman"/>
          <w:szCs w:val="24"/>
        </w:rPr>
      </w:pPr>
      <w:proofErr w:type="spellStart"/>
      <w:r w:rsidRPr="00B75C48">
        <w:rPr>
          <w:rFonts w:ascii="Times New Roman" w:hAnsi="Times New Roman" w:cs="Times New Roman"/>
          <w:szCs w:val="24"/>
        </w:rPr>
        <w:t>Kieso</w:t>
      </w:r>
      <w:proofErr w:type="spellEnd"/>
      <w:r w:rsidRPr="00B75C48">
        <w:rPr>
          <w:rFonts w:ascii="Times New Roman" w:hAnsi="Times New Roman" w:cs="Times New Roman"/>
          <w:szCs w:val="24"/>
        </w:rPr>
        <w:t xml:space="preserve">, D. E., Weygandt, J. J., &amp; Warfield, T. D. (2021). </w:t>
      </w:r>
      <w:r w:rsidRPr="00B75C48">
        <w:rPr>
          <w:rFonts w:ascii="Times New Roman" w:hAnsi="Times New Roman" w:cs="Times New Roman"/>
          <w:i/>
          <w:iCs/>
          <w:szCs w:val="24"/>
        </w:rPr>
        <w:t>Intermediate accounting</w:t>
      </w:r>
      <w:r w:rsidRPr="00B75C48">
        <w:rPr>
          <w:rFonts w:ascii="Times New Roman" w:hAnsi="Times New Roman" w:cs="Times New Roman"/>
          <w:szCs w:val="24"/>
        </w:rPr>
        <w:t xml:space="preserve"> (17th ed.). Wiley.</w:t>
      </w:r>
    </w:p>
    <w:p w14:paraId="29347B38"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Kothari, S. P., Leone, A. J., &amp; Wasley, C. E. (2005). Performance matched discretionary accrual measures. </w:t>
      </w:r>
      <w:r w:rsidRPr="00B75C48">
        <w:rPr>
          <w:rFonts w:ascii="Times New Roman" w:hAnsi="Times New Roman" w:cs="Times New Roman"/>
          <w:i/>
          <w:iCs/>
          <w:szCs w:val="24"/>
        </w:rPr>
        <w:t>Journal of Accounting and Economics, 39</w:t>
      </w:r>
      <w:r w:rsidRPr="00B75C48">
        <w:rPr>
          <w:rFonts w:ascii="Times New Roman" w:hAnsi="Times New Roman" w:cs="Times New Roman"/>
          <w:szCs w:val="24"/>
        </w:rPr>
        <w:t xml:space="preserve">(1), 163–197. </w:t>
      </w:r>
      <w:hyperlink r:id="rId6" w:tgtFrame="_new" w:history="1">
        <w:r w:rsidRPr="00B75C48">
          <w:rPr>
            <w:rStyle w:val="Hyperlink"/>
            <w:rFonts w:ascii="Times New Roman" w:hAnsi="Times New Roman" w:cs="Times New Roman"/>
            <w:szCs w:val="24"/>
          </w:rPr>
          <w:t>https://doi.org/10.1016/j.jacceco.2004.11.002</w:t>
        </w:r>
      </w:hyperlink>
    </w:p>
    <w:p w14:paraId="5D67D91A"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Libby, R., Libby, P. A., &amp; Short, D. G. (2017). </w:t>
      </w:r>
      <w:r w:rsidRPr="00B75C48">
        <w:rPr>
          <w:rFonts w:ascii="Times New Roman" w:hAnsi="Times New Roman" w:cs="Times New Roman"/>
          <w:i/>
          <w:iCs/>
          <w:szCs w:val="24"/>
        </w:rPr>
        <w:t>Financial accounting</w:t>
      </w:r>
      <w:r w:rsidRPr="00B75C48">
        <w:rPr>
          <w:rFonts w:ascii="Times New Roman" w:hAnsi="Times New Roman" w:cs="Times New Roman"/>
          <w:szCs w:val="24"/>
        </w:rPr>
        <w:t xml:space="preserve"> (9th ed.). McGraw-Hill Education.</w:t>
      </w:r>
    </w:p>
    <w:p w14:paraId="74009867"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Littleton, A. C. (1966). </w:t>
      </w:r>
      <w:r w:rsidRPr="00B75C48">
        <w:rPr>
          <w:rFonts w:ascii="Times New Roman" w:hAnsi="Times New Roman" w:cs="Times New Roman"/>
          <w:i/>
          <w:iCs/>
          <w:szCs w:val="24"/>
        </w:rPr>
        <w:t>Accounting evolution to 1900</w:t>
      </w:r>
      <w:r w:rsidRPr="00B75C48">
        <w:rPr>
          <w:rFonts w:ascii="Times New Roman" w:hAnsi="Times New Roman" w:cs="Times New Roman"/>
          <w:szCs w:val="24"/>
        </w:rPr>
        <w:t>. Russell &amp; Russell.</w:t>
      </w:r>
    </w:p>
    <w:p w14:paraId="55E39F14"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Penman, S. H. (2013). </w:t>
      </w:r>
      <w:r w:rsidRPr="00B75C48">
        <w:rPr>
          <w:rFonts w:ascii="Times New Roman" w:hAnsi="Times New Roman" w:cs="Times New Roman"/>
          <w:i/>
          <w:iCs/>
          <w:szCs w:val="24"/>
        </w:rPr>
        <w:t>Financial statement analysis and security valuation</w:t>
      </w:r>
      <w:r w:rsidRPr="00B75C48">
        <w:rPr>
          <w:rFonts w:ascii="Times New Roman" w:hAnsi="Times New Roman" w:cs="Times New Roman"/>
          <w:szCs w:val="24"/>
        </w:rPr>
        <w:t xml:space="preserve"> (5th ed.). McGraw-Hill Education.</w:t>
      </w:r>
    </w:p>
    <w:p w14:paraId="185A9F41"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Penman, S. H., &amp; Yehuda, N. (2016). A matter of principle: Accounting reports convey both cash-flow news and discount-rate news. </w:t>
      </w:r>
      <w:r w:rsidRPr="00B75C48">
        <w:rPr>
          <w:rFonts w:ascii="Times New Roman" w:hAnsi="Times New Roman" w:cs="Times New Roman"/>
          <w:i/>
          <w:iCs/>
          <w:szCs w:val="24"/>
        </w:rPr>
        <w:t>Journal of Accounting, Auditing &amp; Finance, 31</w:t>
      </w:r>
      <w:r w:rsidRPr="00B75C48">
        <w:rPr>
          <w:rFonts w:ascii="Times New Roman" w:hAnsi="Times New Roman" w:cs="Times New Roman"/>
          <w:szCs w:val="24"/>
        </w:rPr>
        <w:t>(1), 5–39. https://doi.org/10.1177/0148558X15576293</w:t>
      </w:r>
    </w:p>
    <w:p w14:paraId="679C440C"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Romney, M. B., &amp; </w:t>
      </w:r>
      <w:proofErr w:type="spellStart"/>
      <w:r w:rsidRPr="00B75C48">
        <w:rPr>
          <w:rFonts w:ascii="Times New Roman" w:hAnsi="Times New Roman" w:cs="Times New Roman"/>
          <w:szCs w:val="24"/>
        </w:rPr>
        <w:t>Steinbart</w:t>
      </w:r>
      <w:proofErr w:type="spellEnd"/>
      <w:r w:rsidRPr="00B75C48">
        <w:rPr>
          <w:rFonts w:ascii="Times New Roman" w:hAnsi="Times New Roman" w:cs="Times New Roman"/>
          <w:szCs w:val="24"/>
        </w:rPr>
        <w:t xml:space="preserve">, P. J. (2021). </w:t>
      </w:r>
      <w:r w:rsidRPr="00B75C48">
        <w:rPr>
          <w:rFonts w:ascii="Times New Roman" w:hAnsi="Times New Roman" w:cs="Times New Roman"/>
          <w:i/>
          <w:iCs/>
          <w:szCs w:val="24"/>
        </w:rPr>
        <w:t>Accounting information systems</w:t>
      </w:r>
      <w:r w:rsidRPr="00B75C48">
        <w:rPr>
          <w:rFonts w:ascii="Times New Roman" w:hAnsi="Times New Roman" w:cs="Times New Roman"/>
          <w:szCs w:val="24"/>
        </w:rPr>
        <w:t xml:space="preserve"> (15th ed.). Pearson Education.</w:t>
      </w:r>
    </w:p>
    <w:p w14:paraId="70EB6C7A"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lastRenderedPageBreak/>
        <w:t xml:space="preserve">Scott, W. R. (2015). </w:t>
      </w:r>
      <w:r w:rsidRPr="00B75C48">
        <w:rPr>
          <w:rFonts w:ascii="Times New Roman" w:hAnsi="Times New Roman" w:cs="Times New Roman"/>
          <w:i/>
          <w:iCs/>
          <w:szCs w:val="24"/>
        </w:rPr>
        <w:t>Financial accounting theory</w:t>
      </w:r>
      <w:r w:rsidRPr="00B75C48">
        <w:rPr>
          <w:rFonts w:ascii="Times New Roman" w:hAnsi="Times New Roman" w:cs="Times New Roman"/>
          <w:szCs w:val="24"/>
        </w:rPr>
        <w:t xml:space="preserve"> (7th ed.). Pearson Education.</w:t>
      </w:r>
    </w:p>
    <w:p w14:paraId="12AD88A6" w14:textId="77777777" w:rsidR="004346C3" w:rsidRPr="00B75C48" w:rsidRDefault="004346C3" w:rsidP="004346C3">
      <w:pPr>
        <w:spacing w:line="480" w:lineRule="auto"/>
        <w:rPr>
          <w:rFonts w:ascii="Times New Roman" w:hAnsi="Times New Roman" w:cs="Times New Roman"/>
          <w:szCs w:val="24"/>
        </w:rPr>
      </w:pPr>
      <w:proofErr w:type="spellStart"/>
      <w:r w:rsidRPr="00B75C48">
        <w:rPr>
          <w:rFonts w:ascii="Times New Roman" w:hAnsi="Times New Roman" w:cs="Times New Roman"/>
          <w:szCs w:val="24"/>
        </w:rPr>
        <w:t>Tranfield</w:t>
      </w:r>
      <w:proofErr w:type="spellEnd"/>
      <w:r w:rsidRPr="00B75C48">
        <w:rPr>
          <w:rFonts w:ascii="Times New Roman" w:hAnsi="Times New Roman" w:cs="Times New Roman"/>
          <w:szCs w:val="24"/>
        </w:rPr>
        <w:t xml:space="preserve">, D., Denyer, D., &amp; Smart, P. (2003). Towards a methodology for developing evidence-informed management knowledge. </w:t>
      </w:r>
      <w:r w:rsidRPr="00B75C48">
        <w:rPr>
          <w:rFonts w:ascii="Times New Roman" w:hAnsi="Times New Roman" w:cs="Times New Roman"/>
          <w:i/>
          <w:iCs/>
          <w:szCs w:val="24"/>
        </w:rPr>
        <w:t>British Journal of Management, 14</w:t>
      </w:r>
      <w:r w:rsidRPr="00B75C48">
        <w:rPr>
          <w:rFonts w:ascii="Times New Roman" w:hAnsi="Times New Roman" w:cs="Times New Roman"/>
          <w:szCs w:val="24"/>
        </w:rPr>
        <w:t xml:space="preserve">(3), 207–222. </w:t>
      </w:r>
      <w:hyperlink r:id="rId7" w:tgtFrame="_new" w:history="1">
        <w:r w:rsidRPr="00B75C48">
          <w:rPr>
            <w:rStyle w:val="Hyperlink"/>
            <w:rFonts w:ascii="Times New Roman" w:hAnsi="Times New Roman" w:cs="Times New Roman"/>
            <w:szCs w:val="24"/>
          </w:rPr>
          <w:t>https://doi.org/10.1111/1467-8551.00375</w:t>
        </w:r>
      </w:hyperlink>
    </w:p>
    <w:p w14:paraId="265FF364"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Weygandt, J. J., Kimmel, P. D., &amp; </w:t>
      </w:r>
      <w:proofErr w:type="spellStart"/>
      <w:r w:rsidRPr="00B75C48">
        <w:rPr>
          <w:rFonts w:ascii="Times New Roman" w:hAnsi="Times New Roman" w:cs="Times New Roman"/>
          <w:szCs w:val="24"/>
        </w:rPr>
        <w:t>Kieso</w:t>
      </w:r>
      <w:proofErr w:type="spellEnd"/>
      <w:r w:rsidRPr="00B75C48">
        <w:rPr>
          <w:rFonts w:ascii="Times New Roman" w:hAnsi="Times New Roman" w:cs="Times New Roman"/>
          <w:szCs w:val="24"/>
        </w:rPr>
        <w:t xml:space="preserve">, D. E. (2020). </w:t>
      </w:r>
      <w:r w:rsidRPr="00B75C48">
        <w:rPr>
          <w:rFonts w:ascii="Times New Roman" w:hAnsi="Times New Roman" w:cs="Times New Roman"/>
          <w:i/>
          <w:iCs/>
          <w:szCs w:val="24"/>
        </w:rPr>
        <w:t>Financial accounting</w:t>
      </w:r>
      <w:r w:rsidRPr="00B75C48">
        <w:rPr>
          <w:rFonts w:ascii="Times New Roman" w:hAnsi="Times New Roman" w:cs="Times New Roman"/>
          <w:szCs w:val="24"/>
        </w:rPr>
        <w:t xml:space="preserve"> (11th ed.). Wiley.</w:t>
      </w:r>
    </w:p>
    <w:p w14:paraId="4A0907D0" w14:textId="77777777" w:rsidR="004346C3" w:rsidRPr="00B75C48" w:rsidRDefault="004346C3" w:rsidP="004346C3">
      <w:pPr>
        <w:spacing w:line="480" w:lineRule="auto"/>
        <w:rPr>
          <w:rFonts w:ascii="Times New Roman" w:hAnsi="Times New Roman" w:cs="Times New Roman"/>
          <w:szCs w:val="24"/>
        </w:rPr>
      </w:pPr>
      <w:r w:rsidRPr="00B75C48">
        <w:rPr>
          <w:rFonts w:ascii="Times New Roman" w:hAnsi="Times New Roman" w:cs="Times New Roman"/>
          <w:szCs w:val="24"/>
        </w:rPr>
        <w:t xml:space="preserve">Yamey, B. S. (2004). Pacioli’s double-entry bookkeeping: A critique. </w:t>
      </w:r>
      <w:r w:rsidRPr="00B75C48">
        <w:rPr>
          <w:rFonts w:ascii="Times New Roman" w:hAnsi="Times New Roman" w:cs="Times New Roman"/>
          <w:i/>
          <w:iCs/>
          <w:szCs w:val="24"/>
        </w:rPr>
        <w:t>Accounting, Business &amp; Financial History, 14</w:t>
      </w:r>
      <w:r w:rsidRPr="00B75C48">
        <w:rPr>
          <w:rFonts w:ascii="Times New Roman" w:hAnsi="Times New Roman" w:cs="Times New Roman"/>
          <w:szCs w:val="24"/>
        </w:rPr>
        <w:t>(3), 203–213. https://doi.org/10.1080/0958520042000254720</w:t>
      </w:r>
    </w:p>
    <w:p w14:paraId="577D9126" w14:textId="77777777" w:rsidR="004346C3" w:rsidRPr="00416524" w:rsidRDefault="004346C3" w:rsidP="004346C3">
      <w:pPr>
        <w:spacing w:line="480" w:lineRule="auto"/>
        <w:rPr>
          <w:rFonts w:ascii="Times New Roman" w:hAnsi="Times New Roman" w:cs="Times New Roman"/>
          <w:szCs w:val="24"/>
        </w:rPr>
      </w:pPr>
    </w:p>
    <w:p w14:paraId="6CE4EE5F" w14:textId="77777777" w:rsidR="004346C3" w:rsidRDefault="004346C3"/>
    <w:sectPr w:rsidR="004346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6C3"/>
    <w:rsid w:val="004346C3"/>
    <w:rsid w:val="006748AB"/>
    <w:rsid w:val="00A43AA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79C9C"/>
  <w15:chartTrackingRefBased/>
  <w15:docId w15:val="{EDC726F0-0162-469B-AE50-CD30CA26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6C3"/>
  </w:style>
  <w:style w:type="paragraph" w:styleId="Heading1">
    <w:name w:val="heading 1"/>
    <w:basedOn w:val="Normal"/>
    <w:next w:val="Normal"/>
    <w:link w:val="Heading1Char"/>
    <w:uiPriority w:val="9"/>
    <w:qFormat/>
    <w:rsid w:val="004346C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346C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346C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346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6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6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6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6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6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6C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346C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346C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346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6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6C3"/>
    <w:rPr>
      <w:rFonts w:eastAsiaTheme="majorEastAsia" w:cstheme="majorBidi"/>
      <w:color w:val="272727" w:themeColor="text1" w:themeTint="D8"/>
    </w:rPr>
  </w:style>
  <w:style w:type="paragraph" w:styleId="Title">
    <w:name w:val="Title"/>
    <w:basedOn w:val="Normal"/>
    <w:next w:val="Normal"/>
    <w:link w:val="TitleChar"/>
    <w:uiPriority w:val="10"/>
    <w:qFormat/>
    <w:rsid w:val="004346C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346C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346C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346C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346C3"/>
    <w:pPr>
      <w:spacing w:before="160"/>
      <w:jc w:val="center"/>
    </w:pPr>
    <w:rPr>
      <w:i/>
      <w:iCs/>
      <w:color w:val="404040" w:themeColor="text1" w:themeTint="BF"/>
    </w:rPr>
  </w:style>
  <w:style w:type="character" w:customStyle="1" w:styleId="QuoteChar">
    <w:name w:val="Quote Char"/>
    <w:basedOn w:val="DefaultParagraphFont"/>
    <w:link w:val="Quote"/>
    <w:uiPriority w:val="29"/>
    <w:rsid w:val="004346C3"/>
    <w:rPr>
      <w:i/>
      <w:iCs/>
      <w:color w:val="404040" w:themeColor="text1" w:themeTint="BF"/>
    </w:rPr>
  </w:style>
  <w:style w:type="paragraph" w:styleId="ListParagraph">
    <w:name w:val="List Paragraph"/>
    <w:basedOn w:val="Normal"/>
    <w:uiPriority w:val="34"/>
    <w:qFormat/>
    <w:rsid w:val="004346C3"/>
    <w:pPr>
      <w:ind w:left="720"/>
      <w:contextualSpacing/>
    </w:pPr>
  </w:style>
  <w:style w:type="character" w:styleId="IntenseEmphasis">
    <w:name w:val="Intense Emphasis"/>
    <w:basedOn w:val="DefaultParagraphFont"/>
    <w:uiPriority w:val="21"/>
    <w:qFormat/>
    <w:rsid w:val="004346C3"/>
    <w:rPr>
      <w:i/>
      <w:iCs/>
      <w:color w:val="0F4761" w:themeColor="accent1" w:themeShade="BF"/>
    </w:rPr>
  </w:style>
  <w:style w:type="paragraph" w:styleId="IntenseQuote">
    <w:name w:val="Intense Quote"/>
    <w:basedOn w:val="Normal"/>
    <w:next w:val="Normal"/>
    <w:link w:val="IntenseQuoteChar"/>
    <w:uiPriority w:val="30"/>
    <w:qFormat/>
    <w:rsid w:val="004346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6C3"/>
    <w:rPr>
      <w:i/>
      <w:iCs/>
      <w:color w:val="0F4761" w:themeColor="accent1" w:themeShade="BF"/>
    </w:rPr>
  </w:style>
  <w:style w:type="character" w:styleId="IntenseReference">
    <w:name w:val="Intense Reference"/>
    <w:basedOn w:val="DefaultParagraphFont"/>
    <w:uiPriority w:val="32"/>
    <w:qFormat/>
    <w:rsid w:val="004346C3"/>
    <w:rPr>
      <w:b/>
      <w:bCs/>
      <w:smallCaps/>
      <w:color w:val="0F4761" w:themeColor="accent1" w:themeShade="BF"/>
      <w:spacing w:val="5"/>
    </w:rPr>
  </w:style>
  <w:style w:type="character" w:styleId="Hyperlink">
    <w:name w:val="Hyperlink"/>
    <w:basedOn w:val="DefaultParagraphFont"/>
    <w:uiPriority w:val="99"/>
    <w:unhideWhenUsed/>
    <w:rsid w:val="004346C3"/>
    <w:rPr>
      <w:color w:val="467886" w:themeColor="hyperlink"/>
      <w:u w:val="single"/>
    </w:rPr>
  </w:style>
  <w:style w:type="paragraph" w:styleId="TOC1">
    <w:name w:val="toc 1"/>
    <w:basedOn w:val="Normal"/>
    <w:next w:val="Normal"/>
    <w:autoRedefine/>
    <w:uiPriority w:val="39"/>
    <w:unhideWhenUsed/>
    <w:rsid w:val="004346C3"/>
    <w:pPr>
      <w:spacing w:after="100" w:line="259" w:lineRule="auto"/>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1467-8551.003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acceco.2004.11.002" TargetMode="External"/><Relationship Id="rId5" Type="http://schemas.openxmlformats.org/officeDocument/2006/relationships/hyperlink" Target="https://doi.org/10.2308/accr-10102"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4700</Words>
  <Characters>26793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2026-02-06T07:26:00Z</dcterms:created>
  <dcterms:modified xsi:type="dcterms:W3CDTF">2026-02-06T07:33:00Z</dcterms:modified>
</cp:coreProperties>
</file>