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D4FE7" w14:textId="043901ED" w:rsidR="00DC2FF7" w:rsidRPr="00742F7E" w:rsidRDefault="00DC2FF7" w:rsidP="00742F7E">
      <w:pPr>
        <w:spacing w:line="360" w:lineRule="auto"/>
        <w:jc w:val="center"/>
        <w:rPr>
          <w:rFonts w:ascii="Times New Roman" w:hAnsi="Times New Roman" w:cs="Times New Roman"/>
          <w:szCs w:val="24"/>
        </w:rPr>
      </w:pPr>
      <w:r w:rsidRPr="00742F7E">
        <w:rPr>
          <w:rFonts w:ascii="Times New Roman" w:hAnsi="Times New Roman" w:cs="Times New Roman"/>
          <w:noProof/>
          <w:szCs w:val="24"/>
        </w:rPr>
        <w:drawing>
          <wp:inline distT="0" distB="0" distL="0" distR="0" wp14:anchorId="1BDF791F" wp14:editId="673658A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6"/>
                    <a:stretch>
                      <a:fillRect/>
                    </a:stretch>
                  </pic:blipFill>
                  <pic:spPr>
                    <a:xfrm>
                      <a:off x="0" y="0"/>
                      <a:ext cx="2476846" cy="733527"/>
                    </a:xfrm>
                    <a:prstGeom prst="rect">
                      <a:avLst/>
                    </a:prstGeom>
                  </pic:spPr>
                </pic:pic>
              </a:graphicData>
            </a:graphic>
          </wp:inline>
        </w:drawing>
      </w:r>
    </w:p>
    <w:p w14:paraId="1F81B004" w14:textId="77777777" w:rsidR="006B6E2B" w:rsidRPr="00742F7E" w:rsidRDefault="006B6E2B" w:rsidP="00742F7E">
      <w:pPr>
        <w:spacing w:line="360" w:lineRule="auto"/>
        <w:jc w:val="center"/>
        <w:rPr>
          <w:rFonts w:ascii="Times New Roman" w:hAnsi="Times New Roman" w:cs="Times New Roman"/>
          <w:b/>
          <w:bCs/>
          <w:szCs w:val="24"/>
        </w:rPr>
      </w:pPr>
      <w:proofErr w:type="spellStart"/>
      <w:r w:rsidRPr="00742F7E">
        <w:rPr>
          <w:rFonts w:ascii="Times New Roman" w:hAnsi="Times New Roman" w:cs="Times New Roman"/>
          <w:b/>
          <w:bCs/>
          <w:szCs w:val="24"/>
        </w:rPr>
        <w:t>Accouting</w:t>
      </w:r>
      <w:proofErr w:type="spellEnd"/>
      <w:r w:rsidRPr="00742F7E">
        <w:rPr>
          <w:rFonts w:ascii="Times New Roman" w:hAnsi="Times New Roman" w:cs="Times New Roman"/>
          <w:b/>
          <w:bCs/>
          <w:szCs w:val="24"/>
        </w:rPr>
        <w:t xml:space="preserve"> Fundamentals February BATTBM</w:t>
      </w:r>
    </w:p>
    <w:p w14:paraId="688A41E5" w14:textId="6E997973" w:rsidR="006B6E2B" w:rsidRPr="00742F7E" w:rsidRDefault="00884A6B" w:rsidP="00742F7E">
      <w:pPr>
        <w:spacing w:line="360" w:lineRule="auto"/>
        <w:jc w:val="center"/>
        <w:rPr>
          <w:rFonts w:ascii="Times New Roman" w:hAnsi="Times New Roman" w:cs="Times New Roman"/>
          <w:b/>
          <w:bCs/>
          <w:szCs w:val="24"/>
        </w:rPr>
      </w:pPr>
      <w:r w:rsidRPr="00742F7E">
        <w:rPr>
          <w:rFonts w:ascii="Times New Roman" w:hAnsi="Times New Roman" w:cs="Times New Roman"/>
          <w:b/>
          <w:bCs/>
          <w:szCs w:val="24"/>
        </w:rPr>
        <w:drawing>
          <wp:inline distT="0" distB="0" distL="0" distR="0" wp14:anchorId="10D5351B" wp14:editId="2386AFF8">
            <wp:extent cx="5943600" cy="3217545"/>
            <wp:effectExtent l="0" t="0" r="0" b="1905"/>
            <wp:docPr id="9186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2303" name=""/>
                    <pic:cNvPicPr/>
                  </pic:nvPicPr>
                  <pic:blipFill>
                    <a:blip r:embed="rId7"/>
                    <a:stretch>
                      <a:fillRect/>
                    </a:stretch>
                  </pic:blipFill>
                  <pic:spPr>
                    <a:xfrm>
                      <a:off x="0" y="0"/>
                      <a:ext cx="5943600" cy="3217545"/>
                    </a:xfrm>
                    <a:prstGeom prst="rect">
                      <a:avLst/>
                    </a:prstGeom>
                  </pic:spPr>
                </pic:pic>
              </a:graphicData>
            </a:graphic>
          </wp:inline>
        </w:drawing>
      </w:r>
    </w:p>
    <w:p w14:paraId="25E2559E" w14:textId="77777777" w:rsidR="006B6E2B" w:rsidRPr="00742F7E" w:rsidRDefault="006B6E2B" w:rsidP="00742F7E">
      <w:pPr>
        <w:spacing w:line="360" w:lineRule="auto"/>
        <w:jc w:val="center"/>
        <w:rPr>
          <w:rFonts w:ascii="Times New Roman" w:hAnsi="Times New Roman" w:cs="Times New Roman"/>
          <w:b/>
          <w:bCs/>
          <w:szCs w:val="24"/>
        </w:rPr>
      </w:pPr>
    </w:p>
    <w:p w14:paraId="220689EF" w14:textId="77777777" w:rsidR="006B6E2B" w:rsidRPr="00742F7E" w:rsidRDefault="006B6E2B" w:rsidP="00742F7E">
      <w:pPr>
        <w:spacing w:line="360" w:lineRule="auto"/>
        <w:jc w:val="center"/>
        <w:rPr>
          <w:rFonts w:ascii="Times New Roman" w:hAnsi="Times New Roman" w:cs="Times New Roman"/>
          <w:b/>
          <w:bCs/>
          <w:szCs w:val="24"/>
        </w:rPr>
      </w:pPr>
    </w:p>
    <w:p w14:paraId="7428F784" w14:textId="77777777" w:rsidR="006B6E2B" w:rsidRPr="00742F7E" w:rsidRDefault="006B6E2B" w:rsidP="00742F7E">
      <w:pPr>
        <w:spacing w:line="360" w:lineRule="auto"/>
        <w:jc w:val="center"/>
        <w:rPr>
          <w:rFonts w:ascii="Times New Roman" w:hAnsi="Times New Roman" w:cs="Times New Roman"/>
          <w:b/>
          <w:bCs/>
          <w:szCs w:val="24"/>
        </w:rPr>
      </w:pPr>
    </w:p>
    <w:p w14:paraId="0E3372A9" w14:textId="77777777" w:rsidR="006B6E2B" w:rsidRDefault="006B6E2B" w:rsidP="00742F7E">
      <w:pPr>
        <w:spacing w:line="360" w:lineRule="auto"/>
        <w:jc w:val="center"/>
        <w:rPr>
          <w:rFonts w:ascii="Times New Roman" w:hAnsi="Times New Roman" w:cs="Times New Roman"/>
          <w:b/>
          <w:bCs/>
          <w:szCs w:val="24"/>
        </w:rPr>
      </w:pPr>
    </w:p>
    <w:p w14:paraId="50822BFF" w14:textId="77777777" w:rsidR="00742F7E" w:rsidRPr="00742F7E" w:rsidRDefault="00742F7E" w:rsidP="00742F7E">
      <w:pPr>
        <w:spacing w:line="360" w:lineRule="auto"/>
        <w:jc w:val="center"/>
        <w:rPr>
          <w:rFonts w:ascii="Times New Roman" w:hAnsi="Times New Roman" w:cs="Times New Roman"/>
          <w:b/>
          <w:bCs/>
          <w:szCs w:val="24"/>
        </w:rPr>
      </w:pPr>
    </w:p>
    <w:p w14:paraId="5EF068BF" w14:textId="77777777" w:rsidR="00884A6B" w:rsidRPr="00742F7E" w:rsidRDefault="00884A6B" w:rsidP="00742F7E">
      <w:pPr>
        <w:spacing w:line="360" w:lineRule="auto"/>
        <w:jc w:val="center"/>
        <w:rPr>
          <w:rFonts w:ascii="Times New Roman" w:hAnsi="Times New Roman" w:cs="Times New Roman"/>
          <w:b/>
          <w:bCs/>
          <w:szCs w:val="24"/>
        </w:rPr>
      </w:pPr>
    </w:p>
    <w:p w14:paraId="22CC604F" w14:textId="77777777" w:rsidR="006B6E2B" w:rsidRPr="00742F7E" w:rsidRDefault="006B6E2B" w:rsidP="00742F7E">
      <w:pPr>
        <w:spacing w:line="360" w:lineRule="auto"/>
        <w:rPr>
          <w:rFonts w:ascii="Times New Roman" w:hAnsi="Times New Roman" w:cs="Times New Roman"/>
          <w:b/>
          <w:bCs/>
          <w:szCs w:val="24"/>
        </w:rPr>
      </w:pPr>
    </w:p>
    <w:p w14:paraId="45651E59" w14:textId="77777777" w:rsidR="00884A6B" w:rsidRPr="00742F7E" w:rsidRDefault="00884A6B" w:rsidP="00742F7E">
      <w:pPr>
        <w:spacing w:line="360" w:lineRule="auto"/>
        <w:rPr>
          <w:rFonts w:ascii="Times New Roman" w:hAnsi="Times New Roman" w:cs="Times New Roman"/>
          <w:b/>
          <w:bCs/>
          <w:szCs w:val="24"/>
        </w:rPr>
      </w:pPr>
    </w:p>
    <w:p w14:paraId="337C325C" w14:textId="1C6F22E5" w:rsidR="00E4472F" w:rsidRPr="00742F7E" w:rsidRDefault="00E4472F" w:rsidP="00742F7E">
      <w:pPr>
        <w:pStyle w:val="Heading2"/>
        <w:spacing w:line="360" w:lineRule="auto"/>
        <w:rPr>
          <w:rFonts w:ascii="Times New Roman" w:hAnsi="Times New Roman" w:cs="Times New Roman"/>
          <w:sz w:val="24"/>
          <w:szCs w:val="24"/>
        </w:rPr>
      </w:pPr>
      <w:bookmarkStart w:id="0" w:name="_Toc224846299"/>
      <w:r w:rsidRPr="00742F7E">
        <w:rPr>
          <w:rFonts w:ascii="Times New Roman" w:hAnsi="Times New Roman" w:cs="Times New Roman"/>
          <w:sz w:val="24"/>
          <w:szCs w:val="24"/>
        </w:rPr>
        <w:lastRenderedPageBreak/>
        <w:t>Abstract</w:t>
      </w:r>
      <w:bookmarkEnd w:id="0"/>
    </w:p>
    <w:p w14:paraId="7D7CD971" w14:textId="2CDEB971"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This report examines the evolving role of the double-entry accounting system in the context of technological integration and fraud prevention in modern financial reporting. The double-entry system, which ensures that every financial transaction is recorded with equal debits and credits, has historically provided a reliable mechanism for maintaining accuracy and accountability. However, the increasing complexity of financial transactions and globalization has necessitated the incorporation of advanced technologies such as artificial intelligence (AI), blockchain, and data analytics into accounting processes. These technologies enhance the efficiency, accuracy, and transparency of financial reporting while also strengthening fraud detection mechanisms.</w:t>
      </w:r>
    </w:p>
    <w:p w14:paraId="00CE41D0" w14:textId="63570531"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The study explores how AI-driven systems automate transaction recording and anomaly detection, while blockchain technology introduces immutable and decentralized ledgers that reduce the risk of manipulation. Additionally, the report discusses the evolution of debit and credit structures in relation to complex financial instruments, including derivatives, and their implications within the double-entry framework. The role of forensic accounting is also </w:t>
      </w:r>
      <w:proofErr w:type="spellStart"/>
      <w:r w:rsidRPr="00742F7E">
        <w:rPr>
          <w:rFonts w:ascii="Times New Roman" w:hAnsi="Times New Roman" w:cs="Times New Roman"/>
          <w:szCs w:val="24"/>
        </w:rPr>
        <w:t>analyzed</w:t>
      </w:r>
      <w:proofErr w:type="spellEnd"/>
      <w:r w:rsidRPr="00742F7E">
        <w:rPr>
          <w:rFonts w:ascii="Times New Roman" w:hAnsi="Times New Roman" w:cs="Times New Roman"/>
          <w:szCs w:val="24"/>
        </w:rPr>
        <w:t>, emphasizing its importance in identifying financial irregularities and preventing fraud through advanced analytical tools.</w:t>
      </w:r>
    </w:p>
    <w:p w14:paraId="34D244EA" w14:textId="01AA842D"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Furthermore, the report highlights the challenges associated with maintaining balanced financial records in high-frequency trading environments and global financial systems. Through the integration of theoretical insights and real-world applications, this study demonstrates that while the double-entry system remains fundamental, its effectiveness in modern contexts depends on technological advancements and robust governance mechanisms. Overall, the report underscores the continued relevance of double-entry accounting as a critical tool for ensuring transparency, accuracy, and fraud prevention in contemporary financial reporting.</w:t>
      </w:r>
    </w:p>
    <w:p w14:paraId="030D392F" w14:textId="77777777" w:rsidR="00AC2216" w:rsidRPr="00742F7E" w:rsidRDefault="00AC2216" w:rsidP="00742F7E">
      <w:pPr>
        <w:spacing w:line="360" w:lineRule="auto"/>
        <w:rPr>
          <w:rFonts w:ascii="Times New Roman" w:hAnsi="Times New Roman" w:cs="Times New Roman"/>
          <w:szCs w:val="24"/>
        </w:rPr>
      </w:pPr>
    </w:p>
    <w:p w14:paraId="0DEFE9D0" w14:textId="77777777" w:rsidR="00AC2216" w:rsidRPr="00742F7E" w:rsidRDefault="00AC2216" w:rsidP="00742F7E">
      <w:pPr>
        <w:spacing w:line="360" w:lineRule="auto"/>
        <w:rPr>
          <w:rFonts w:ascii="Times New Roman" w:hAnsi="Times New Roman" w:cs="Times New Roman"/>
          <w:szCs w:val="24"/>
        </w:rPr>
      </w:pPr>
    </w:p>
    <w:p w14:paraId="67FC1CF4" w14:textId="77777777" w:rsidR="00AC2216" w:rsidRPr="00742F7E" w:rsidRDefault="00AC2216" w:rsidP="00742F7E">
      <w:pPr>
        <w:spacing w:line="360" w:lineRule="auto"/>
        <w:rPr>
          <w:rFonts w:ascii="Times New Roman" w:hAnsi="Times New Roman" w:cs="Times New Roman"/>
          <w:szCs w:val="24"/>
        </w:rPr>
      </w:pPr>
    </w:p>
    <w:p w14:paraId="7E245F0E" w14:textId="77777777" w:rsidR="00AC2216" w:rsidRPr="00742F7E" w:rsidRDefault="00AC2216" w:rsidP="00742F7E">
      <w:pPr>
        <w:spacing w:line="360" w:lineRule="auto"/>
        <w:rPr>
          <w:rFonts w:ascii="Times New Roman" w:hAnsi="Times New Roman" w:cs="Times New Roman"/>
          <w:szCs w:val="24"/>
        </w:rPr>
      </w:pPr>
    </w:p>
    <w:p w14:paraId="50F39113" w14:textId="77777777" w:rsidR="00E4472F" w:rsidRPr="00742F7E" w:rsidRDefault="00E4472F" w:rsidP="00742F7E">
      <w:pPr>
        <w:spacing w:line="360" w:lineRule="auto"/>
        <w:rPr>
          <w:rFonts w:ascii="Times New Roman" w:hAnsi="Times New Roman" w:cs="Times New Roman"/>
          <w:b/>
          <w:bCs/>
          <w:szCs w:val="24"/>
        </w:rPr>
      </w:pPr>
    </w:p>
    <w:sdt>
      <w:sdtPr>
        <w:rPr>
          <w:rFonts w:ascii="Times New Roman" w:eastAsiaTheme="minorHAnsi" w:hAnsi="Times New Roman"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363F3AC5" w14:textId="42E57AE9" w:rsidR="00CC67E8" w:rsidRPr="00742F7E" w:rsidRDefault="00CC67E8" w:rsidP="00742F7E">
          <w:pPr>
            <w:pStyle w:val="TOCHeading"/>
            <w:spacing w:line="360" w:lineRule="auto"/>
            <w:rPr>
              <w:rFonts w:ascii="Times New Roman" w:hAnsi="Times New Roman" w:cs="Times New Roman"/>
              <w:sz w:val="24"/>
              <w:szCs w:val="24"/>
            </w:rPr>
          </w:pPr>
          <w:r w:rsidRPr="00742F7E">
            <w:rPr>
              <w:rFonts w:ascii="Times New Roman" w:hAnsi="Times New Roman" w:cs="Times New Roman"/>
              <w:sz w:val="24"/>
              <w:szCs w:val="24"/>
            </w:rPr>
            <w:t>Contents</w:t>
          </w:r>
        </w:p>
        <w:p w14:paraId="3BE2C28B" w14:textId="1C8DE226"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r w:rsidRPr="00742F7E">
            <w:rPr>
              <w:rFonts w:ascii="Times New Roman" w:hAnsi="Times New Roman" w:cs="Times New Roman"/>
              <w:szCs w:val="24"/>
            </w:rPr>
            <w:fldChar w:fldCharType="begin"/>
          </w:r>
          <w:r w:rsidRPr="00742F7E">
            <w:rPr>
              <w:rFonts w:ascii="Times New Roman" w:hAnsi="Times New Roman" w:cs="Times New Roman"/>
              <w:szCs w:val="24"/>
            </w:rPr>
            <w:instrText xml:space="preserve"> TOC \o "1-3" \h \z \u </w:instrText>
          </w:r>
          <w:r w:rsidRPr="00742F7E">
            <w:rPr>
              <w:rFonts w:ascii="Times New Roman" w:hAnsi="Times New Roman" w:cs="Times New Roman"/>
              <w:szCs w:val="24"/>
            </w:rPr>
            <w:fldChar w:fldCharType="separate"/>
          </w:r>
          <w:hyperlink w:anchor="_Toc224846299" w:history="1">
            <w:r w:rsidRPr="00742F7E">
              <w:rPr>
                <w:rStyle w:val="Hyperlink"/>
                <w:rFonts w:ascii="Times New Roman" w:hAnsi="Times New Roman" w:cs="Times New Roman"/>
                <w:noProof/>
                <w:szCs w:val="24"/>
              </w:rPr>
              <w:t>Abstract</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_Toc224846299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2</w:t>
            </w:r>
            <w:r w:rsidRPr="00742F7E">
              <w:rPr>
                <w:rFonts w:ascii="Times New Roman" w:hAnsi="Times New Roman" w:cs="Times New Roman"/>
                <w:noProof/>
                <w:webHidden/>
                <w:szCs w:val="24"/>
              </w:rPr>
              <w:fldChar w:fldCharType="end"/>
            </w:r>
          </w:hyperlink>
        </w:p>
        <w:p w14:paraId="054E1C93" w14:textId="76C52AA6"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hyperlink w:anchor="_Toc224846300" w:history="1">
            <w:r w:rsidRPr="00742F7E">
              <w:rPr>
                <w:rStyle w:val="Hyperlink"/>
                <w:rFonts w:ascii="Times New Roman" w:hAnsi="Times New Roman" w:cs="Times New Roman"/>
                <w:noProof/>
                <w:szCs w:val="24"/>
              </w:rPr>
              <w:t>Introduction</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_Toc224846300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4</w:t>
            </w:r>
            <w:r w:rsidRPr="00742F7E">
              <w:rPr>
                <w:rFonts w:ascii="Times New Roman" w:hAnsi="Times New Roman" w:cs="Times New Roman"/>
                <w:noProof/>
                <w:webHidden/>
                <w:szCs w:val="24"/>
              </w:rPr>
              <w:fldChar w:fldCharType="end"/>
            </w:r>
          </w:hyperlink>
        </w:p>
        <w:p w14:paraId="20AAF138" w14:textId="3F45D7B7"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hyperlink w:anchor="_Toc224846301" w:history="1">
            <w:r w:rsidRPr="00742F7E">
              <w:rPr>
                <w:rStyle w:val="Hyperlink"/>
                <w:rFonts w:ascii="Times New Roman" w:hAnsi="Times New Roman" w:cs="Times New Roman"/>
                <w:noProof/>
                <w:szCs w:val="24"/>
              </w:rPr>
              <w:t>Literature Review</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_Toc224846301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6</w:t>
            </w:r>
            <w:r w:rsidRPr="00742F7E">
              <w:rPr>
                <w:rFonts w:ascii="Times New Roman" w:hAnsi="Times New Roman" w:cs="Times New Roman"/>
                <w:noProof/>
                <w:webHidden/>
                <w:szCs w:val="24"/>
              </w:rPr>
              <w:fldChar w:fldCharType="end"/>
            </w:r>
          </w:hyperlink>
        </w:p>
        <w:p w14:paraId="58F4C590" w14:textId="16C6D9F6"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hyperlink w:anchor="_Toc224846302" w:history="1">
            <w:r w:rsidRPr="00742F7E">
              <w:rPr>
                <w:rStyle w:val="Hyperlink"/>
                <w:rFonts w:ascii="Times New Roman" w:hAnsi="Times New Roman" w:cs="Times New Roman"/>
                <w:noProof/>
                <w:szCs w:val="24"/>
              </w:rPr>
              <w:t>Methodology</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_Toc224846302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9</w:t>
            </w:r>
            <w:r w:rsidRPr="00742F7E">
              <w:rPr>
                <w:rFonts w:ascii="Times New Roman" w:hAnsi="Times New Roman" w:cs="Times New Roman"/>
                <w:noProof/>
                <w:webHidden/>
                <w:szCs w:val="24"/>
              </w:rPr>
              <w:fldChar w:fldCharType="end"/>
            </w:r>
          </w:hyperlink>
        </w:p>
        <w:p w14:paraId="414C0572" w14:textId="6DCFED8E"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hyperlink w:anchor="_Toc224846303" w:history="1">
            <w:r w:rsidRPr="00742F7E">
              <w:rPr>
                <w:rStyle w:val="Hyperlink"/>
                <w:rFonts w:ascii="Times New Roman" w:hAnsi="Times New Roman" w:cs="Times New Roman"/>
                <w:noProof/>
                <w:szCs w:val="24"/>
              </w:rPr>
              <w:t>Methodology</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_Toc224846303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11</w:t>
            </w:r>
            <w:r w:rsidRPr="00742F7E">
              <w:rPr>
                <w:rFonts w:ascii="Times New Roman" w:hAnsi="Times New Roman" w:cs="Times New Roman"/>
                <w:noProof/>
                <w:webHidden/>
                <w:szCs w:val="24"/>
              </w:rPr>
              <w:fldChar w:fldCharType="end"/>
            </w:r>
          </w:hyperlink>
        </w:p>
        <w:p w14:paraId="1C79C1FB" w14:textId="165DE56E"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hyperlink w:anchor="_Toc224846304" w:history="1">
            <w:r w:rsidRPr="00742F7E">
              <w:rPr>
                <w:rStyle w:val="Hyperlink"/>
                <w:rFonts w:ascii="Times New Roman" w:hAnsi="Times New Roman" w:cs="Times New Roman"/>
                <w:noProof/>
                <w:szCs w:val="24"/>
              </w:rPr>
              <w:t>Findings</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_Toc224846304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13</w:t>
            </w:r>
            <w:r w:rsidRPr="00742F7E">
              <w:rPr>
                <w:rFonts w:ascii="Times New Roman" w:hAnsi="Times New Roman" w:cs="Times New Roman"/>
                <w:noProof/>
                <w:webHidden/>
                <w:szCs w:val="24"/>
              </w:rPr>
              <w:fldChar w:fldCharType="end"/>
            </w:r>
          </w:hyperlink>
        </w:p>
        <w:p w14:paraId="06136C51" w14:textId="0A1630D9"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hyperlink w:anchor="_Toc224846305" w:history="1">
            <w:r w:rsidRPr="00742F7E">
              <w:rPr>
                <w:rStyle w:val="Hyperlink"/>
                <w:rFonts w:ascii="Times New Roman" w:hAnsi="Times New Roman" w:cs="Times New Roman"/>
                <w:noProof/>
                <w:szCs w:val="24"/>
              </w:rPr>
              <w:t>Discussion</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_Toc224846305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16</w:t>
            </w:r>
            <w:r w:rsidRPr="00742F7E">
              <w:rPr>
                <w:rFonts w:ascii="Times New Roman" w:hAnsi="Times New Roman" w:cs="Times New Roman"/>
                <w:noProof/>
                <w:webHidden/>
                <w:szCs w:val="24"/>
              </w:rPr>
              <w:fldChar w:fldCharType="end"/>
            </w:r>
          </w:hyperlink>
        </w:p>
        <w:p w14:paraId="322F0065" w14:textId="509A2EE0"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hyperlink w:anchor="_Toc224846306" w:history="1">
            <w:r w:rsidRPr="00742F7E">
              <w:rPr>
                <w:rStyle w:val="Hyperlink"/>
                <w:rFonts w:ascii="Times New Roman" w:hAnsi="Times New Roman" w:cs="Times New Roman"/>
                <w:noProof/>
                <w:szCs w:val="24"/>
              </w:rPr>
              <w:t>Conclusion</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_Toc224846306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20</w:t>
            </w:r>
            <w:r w:rsidRPr="00742F7E">
              <w:rPr>
                <w:rFonts w:ascii="Times New Roman" w:hAnsi="Times New Roman" w:cs="Times New Roman"/>
                <w:noProof/>
                <w:webHidden/>
                <w:szCs w:val="24"/>
              </w:rPr>
              <w:fldChar w:fldCharType="end"/>
            </w:r>
          </w:hyperlink>
        </w:p>
        <w:p w14:paraId="502EF988" w14:textId="4ECC61A9" w:rsidR="00CC67E8" w:rsidRPr="00742F7E" w:rsidRDefault="00CC67E8" w:rsidP="00742F7E">
          <w:pPr>
            <w:pStyle w:val="TOC2"/>
            <w:tabs>
              <w:tab w:val="right" w:leader="dot" w:pos="9350"/>
            </w:tabs>
            <w:spacing w:line="360" w:lineRule="auto"/>
            <w:rPr>
              <w:rFonts w:ascii="Times New Roman" w:hAnsi="Times New Roman" w:cs="Times New Roman"/>
              <w:noProof/>
              <w:szCs w:val="24"/>
            </w:rPr>
          </w:pPr>
          <w:hyperlink w:anchor="_Toc224846307" w:history="1">
            <w:r w:rsidRPr="00742F7E">
              <w:rPr>
                <w:rStyle w:val="Hyperlink"/>
                <w:rFonts w:ascii="Times New Roman" w:hAnsi="Times New Roman" w:cs="Times New Roman"/>
                <w:noProof/>
                <w:szCs w:val="24"/>
              </w:rPr>
              <w:t>References</w:t>
            </w:r>
            <w:r w:rsidRPr="00742F7E">
              <w:rPr>
                <w:rFonts w:ascii="Times New Roman" w:hAnsi="Times New Roman" w:cs="Times New Roman"/>
                <w:noProof/>
                <w:webHidden/>
                <w:szCs w:val="24"/>
              </w:rPr>
              <w:tab/>
            </w:r>
            <w:r w:rsidRPr="00742F7E">
              <w:rPr>
                <w:rFonts w:ascii="Times New Roman" w:hAnsi="Times New Roman" w:cs="Times New Roman"/>
                <w:noProof/>
                <w:webHidden/>
                <w:szCs w:val="24"/>
              </w:rPr>
              <w:fldChar w:fldCharType="begin"/>
            </w:r>
            <w:r w:rsidRPr="00742F7E">
              <w:rPr>
                <w:rFonts w:ascii="Times New Roman" w:hAnsi="Times New Roman" w:cs="Times New Roman"/>
                <w:noProof/>
                <w:webHidden/>
                <w:szCs w:val="24"/>
              </w:rPr>
              <w:instrText xml:space="preserve"> PAGEREF _Toc224846307 \h </w:instrText>
            </w:r>
            <w:r w:rsidRPr="00742F7E">
              <w:rPr>
                <w:rFonts w:ascii="Times New Roman" w:hAnsi="Times New Roman" w:cs="Times New Roman"/>
                <w:noProof/>
                <w:webHidden/>
                <w:szCs w:val="24"/>
              </w:rPr>
            </w:r>
            <w:r w:rsidRPr="00742F7E">
              <w:rPr>
                <w:rFonts w:ascii="Times New Roman" w:hAnsi="Times New Roman" w:cs="Times New Roman"/>
                <w:noProof/>
                <w:webHidden/>
                <w:szCs w:val="24"/>
              </w:rPr>
              <w:fldChar w:fldCharType="separate"/>
            </w:r>
            <w:r w:rsidRPr="00742F7E">
              <w:rPr>
                <w:rFonts w:ascii="Times New Roman" w:hAnsi="Times New Roman" w:cs="Times New Roman"/>
                <w:noProof/>
                <w:webHidden/>
                <w:szCs w:val="24"/>
              </w:rPr>
              <w:t>22</w:t>
            </w:r>
            <w:r w:rsidRPr="00742F7E">
              <w:rPr>
                <w:rFonts w:ascii="Times New Roman" w:hAnsi="Times New Roman" w:cs="Times New Roman"/>
                <w:noProof/>
                <w:webHidden/>
                <w:szCs w:val="24"/>
              </w:rPr>
              <w:fldChar w:fldCharType="end"/>
            </w:r>
          </w:hyperlink>
        </w:p>
        <w:p w14:paraId="32BE55C2" w14:textId="11CB64C4" w:rsidR="00CC67E8" w:rsidRPr="00742F7E" w:rsidRDefault="00CC67E8" w:rsidP="00742F7E">
          <w:pPr>
            <w:spacing w:line="360" w:lineRule="auto"/>
            <w:rPr>
              <w:rFonts w:ascii="Times New Roman" w:hAnsi="Times New Roman" w:cs="Times New Roman"/>
              <w:szCs w:val="24"/>
            </w:rPr>
          </w:pPr>
          <w:r w:rsidRPr="00742F7E">
            <w:rPr>
              <w:rFonts w:ascii="Times New Roman" w:hAnsi="Times New Roman" w:cs="Times New Roman"/>
              <w:b/>
              <w:bCs/>
              <w:noProof/>
              <w:szCs w:val="24"/>
            </w:rPr>
            <w:fldChar w:fldCharType="end"/>
          </w:r>
        </w:p>
      </w:sdtContent>
    </w:sdt>
    <w:p w14:paraId="564A99E8" w14:textId="77777777" w:rsidR="00E4472F" w:rsidRPr="00742F7E" w:rsidRDefault="00E4472F" w:rsidP="00742F7E">
      <w:pPr>
        <w:spacing w:line="360" w:lineRule="auto"/>
        <w:rPr>
          <w:rFonts w:ascii="Times New Roman" w:hAnsi="Times New Roman" w:cs="Times New Roman"/>
          <w:b/>
          <w:bCs/>
          <w:szCs w:val="24"/>
        </w:rPr>
      </w:pPr>
    </w:p>
    <w:p w14:paraId="0A867957" w14:textId="77777777" w:rsidR="00E4472F" w:rsidRPr="00742F7E" w:rsidRDefault="00E4472F" w:rsidP="00742F7E">
      <w:pPr>
        <w:spacing w:line="360" w:lineRule="auto"/>
        <w:rPr>
          <w:rFonts w:ascii="Times New Roman" w:hAnsi="Times New Roman" w:cs="Times New Roman"/>
          <w:b/>
          <w:bCs/>
          <w:szCs w:val="24"/>
        </w:rPr>
      </w:pPr>
    </w:p>
    <w:p w14:paraId="15031C97" w14:textId="77777777" w:rsidR="00E4472F" w:rsidRPr="00742F7E" w:rsidRDefault="00E4472F" w:rsidP="00742F7E">
      <w:pPr>
        <w:spacing w:line="360" w:lineRule="auto"/>
        <w:rPr>
          <w:rFonts w:ascii="Times New Roman" w:hAnsi="Times New Roman" w:cs="Times New Roman"/>
          <w:b/>
          <w:bCs/>
          <w:szCs w:val="24"/>
        </w:rPr>
      </w:pPr>
    </w:p>
    <w:p w14:paraId="68470339" w14:textId="77777777" w:rsidR="00E4472F" w:rsidRPr="00742F7E" w:rsidRDefault="00E4472F" w:rsidP="00742F7E">
      <w:pPr>
        <w:spacing w:line="360" w:lineRule="auto"/>
        <w:rPr>
          <w:rFonts w:ascii="Times New Roman" w:hAnsi="Times New Roman" w:cs="Times New Roman"/>
          <w:b/>
          <w:bCs/>
          <w:szCs w:val="24"/>
        </w:rPr>
      </w:pPr>
    </w:p>
    <w:p w14:paraId="2E7A1930" w14:textId="77777777" w:rsidR="00E4472F" w:rsidRPr="00742F7E" w:rsidRDefault="00E4472F" w:rsidP="00742F7E">
      <w:pPr>
        <w:spacing w:line="360" w:lineRule="auto"/>
        <w:rPr>
          <w:rFonts w:ascii="Times New Roman" w:hAnsi="Times New Roman" w:cs="Times New Roman"/>
          <w:b/>
          <w:bCs/>
          <w:szCs w:val="24"/>
        </w:rPr>
      </w:pPr>
    </w:p>
    <w:p w14:paraId="33A4BD5B" w14:textId="77777777" w:rsidR="00E4472F" w:rsidRPr="00742F7E" w:rsidRDefault="00E4472F" w:rsidP="00742F7E">
      <w:pPr>
        <w:spacing w:line="360" w:lineRule="auto"/>
        <w:rPr>
          <w:rFonts w:ascii="Times New Roman" w:hAnsi="Times New Roman" w:cs="Times New Roman"/>
          <w:b/>
          <w:bCs/>
          <w:szCs w:val="24"/>
        </w:rPr>
      </w:pPr>
    </w:p>
    <w:p w14:paraId="0E74389F" w14:textId="77777777" w:rsidR="00E4472F" w:rsidRPr="00742F7E" w:rsidRDefault="00E4472F" w:rsidP="00742F7E">
      <w:pPr>
        <w:spacing w:line="360" w:lineRule="auto"/>
        <w:rPr>
          <w:rFonts w:ascii="Times New Roman" w:hAnsi="Times New Roman" w:cs="Times New Roman"/>
          <w:b/>
          <w:bCs/>
          <w:szCs w:val="24"/>
        </w:rPr>
      </w:pPr>
    </w:p>
    <w:p w14:paraId="53530971" w14:textId="77777777" w:rsidR="00E4472F" w:rsidRPr="00742F7E" w:rsidRDefault="00E4472F" w:rsidP="00742F7E">
      <w:pPr>
        <w:spacing w:line="360" w:lineRule="auto"/>
        <w:rPr>
          <w:rFonts w:ascii="Times New Roman" w:hAnsi="Times New Roman" w:cs="Times New Roman"/>
          <w:b/>
          <w:bCs/>
          <w:szCs w:val="24"/>
        </w:rPr>
      </w:pPr>
    </w:p>
    <w:p w14:paraId="17A50799" w14:textId="77777777" w:rsidR="00AC2216" w:rsidRPr="00742F7E" w:rsidRDefault="00AC2216" w:rsidP="00742F7E">
      <w:pPr>
        <w:spacing w:line="360" w:lineRule="auto"/>
        <w:rPr>
          <w:rFonts w:ascii="Times New Roman" w:hAnsi="Times New Roman" w:cs="Times New Roman"/>
          <w:b/>
          <w:bCs/>
          <w:szCs w:val="24"/>
        </w:rPr>
      </w:pPr>
    </w:p>
    <w:p w14:paraId="613F4623" w14:textId="77777777" w:rsidR="00AC2216" w:rsidRPr="00742F7E" w:rsidRDefault="00AC2216" w:rsidP="00742F7E">
      <w:pPr>
        <w:spacing w:line="360" w:lineRule="auto"/>
        <w:rPr>
          <w:rFonts w:ascii="Times New Roman" w:hAnsi="Times New Roman" w:cs="Times New Roman"/>
          <w:b/>
          <w:bCs/>
          <w:szCs w:val="24"/>
        </w:rPr>
      </w:pPr>
    </w:p>
    <w:p w14:paraId="65F5C48A" w14:textId="77777777" w:rsidR="00E4472F" w:rsidRPr="00742F7E" w:rsidRDefault="00E4472F" w:rsidP="00742F7E">
      <w:pPr>
        <w:spacing w:line="360" w:lineRule="auto"/>
        <w:rPr>
          <w:rFonts w:ascii="Times New Roman" w:hAnsi="Times New Roman" w:cs="Times New Roman"/>
          <w:b/>
          <w:bCs/>
          <w:szCs w:val="24"/>
        </w:rPr>
      </w:pPr>
    </w:p>
    <w:p w14:paraId="1F9E4911" w14:textId="78622C0A" w:rsidR="00E4472F" w:rsidRPr="00742F7E" w:rsidRDefault="00E4472F" w:rsidP="00742F7E">
      <w:pPr>
        <w:pStyle w:val="Heading2"/>
        <w:spacing w:line="360" w:lineRule="auto"/>
        <w:rPr>
          <w:rFonts w:ascii="Times New Roman" w:hAnsi="Times New Roman" w:cs="Times New Roman"/>
          <w:sz w:val="24"/>
          <w:szCs w:val="24"/>
        </w:rPr>
      </w:pPr>
      <w:bookmarkStart w:id="1" w:name="_Toc224846300"/>
      <w:r w:rsidRPr="00742F7E">
        <w:rPr>
          <w:rFonts w:ascii="Times New Roman" w:hAnsi="Times New Roman" w:cs="Times New Roman"/>
          <w:sz w:val="24"/>
          <w:szCs w:val="24"/>
        </w:rPr>
        <w:lastRenderedPageBreak/>
        <w:t>Introduction</w:t>
      </w:r>
      <w:bookmarkEnd w:id="1"/>
    </w:p>
    <w:p w14:paraId="3AF5C195"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The double-entry accounting system has long been regarded as the cornerstone of financial reporting, providing a systematic method for recording transactions through corresponding debits and credits. Originating in the works of Luca Pacioli in the 15th century, this system ensures the internal consistency of financial records and supports the preparation of accurate financial statements (</w:t>
      </w:r>
      <w:proofErr w:type="spellStart"/>
      <w:r w:rsidRPr="00AC2216">
        <w:rPr>
          <w:rFonts w:ascii="Times New Roman" w:hAnsi="Times New Roman" w:cs="Times New Roman"/>
          <w:szCs w:val="24"/>
        </w:rPr>
        <w:t>Yamey</w:t>
      </w:r>
      <w:proofErr w:type="spellEnd"/>
      <w:r w:rsidRPr="00AC2216">
        <w:rPr>
          <w:rFonts w:ascii="Times New Roman" w:hAnsi="Times New Roman" w:cs="Times New Roman"/>
          <w:szCs w:val="24"/>
        </w:rPr>
        <w:t>, 1949). Despite its historical origins, the double-entry system remains highly relevant in modern accounting, particularly as businesses operate in increasingly complex and technology-driven environments.</w:t>
      </w:r>
    </w:p>
    <w:p w14:paraId="01104055"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 xml:space="preserve">In recent years, technological advancements such as artificial intelligence (AI), blockchain, and big data analytics have significantly transformed accounting practices. AI-powered systems can automate routine accounting tasks, detect anomalies, and improve the accuracy of financial reporting (Issa et al., 2016). Similarly, blockchain technology offers a decentralized and immutable ledger system that enhances transparency and reduces the risk of fraud by ensuring that transactions cannot be altered once recorded (Dai &amp; </w:t>
      </w:r>
      <w:proofErr w:type="spellStart"/>
      <w:r w:rsidRPr="00AC2216">
        <w:rPr>
          <w:rFonts w:ascii="Times New Roman" w:hAnsi="Times New Roman" w:cs="Times New Roman"/>
          <w:szCs w:val="24"/>
        </w:rPr>
        <w:t>Vasarhelyi</w:t>
      </w:r>
      <w:proofErr w:type="spellEnd"/>
      <w:r w:rsidRPr="00AC2216">
        <w:rPr>
          <w:rFonts w:ascii="Times New Roman" w:hAnsi="Times New Roman" w:cs="Times New Roman"/>
          <w:szCs w:val="24"/>
        </w:rPr>
        <w:t>, 2017). These innovations are reshaping the traditional double-entry framework by integrating real-time data processing and advanced verification mechanisms.</w:t>
      </w:r>
    </w:p>
    <w:p w14:paraId="6780B021"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The evolution of financial instruments, particularly derivatives and complex financial products, has also influenced the application of debits and credits within the double-entry system. Modern accounting standards require more sophisticated recognition and measurement techniques to accurately represent these transactions (Ryan, 2008). This has increased the importance of maintaining consistency and reliability in financial records while adapting to new financial realities.</w:t>
      </w:r>
    </w:p>
    <w:p w14:paraId="4EF1C51E"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 xml:space="preserve">Fraud prevention has become a critical concern in financial reporting, especially </w:t>
      </w:r>
      <w:proofErr w:type="gramStart"/>
      <w:r w:rsidRPr="00AC2216">
        <w:rPr>
          <w:rFonts w:ascii="Times New Roman" w:hAnsi="Times New Roman" w:cs="Times New Roman"/>
          <w:szCs w:val="24"/>
        </w:rPr>
        <w:t>in light of</w:t>
      </w:r>
      <w:proofErr w:type="gramEnd"/>
      <w:r w:rsidRPr="00AC2216">
        <w:rPr>
          <w:rFonts w:ascii="Times New Roman" w:hAnsi="Times New Roman" w:cs="Times New Roman"/>
          <w:szCs w:val="24"/>
        </w:rPr>
        <w:t xml:space="preserve"> major corporate scandals such as Enron and WorldCom. The double-entry system inherently provides a mechanism for error detection through its balancing principle; however, it is not immune to manipulation (Healy &amp; Palepu, 2003). As a result, forensic accounting has emerged as an essential discipline, utilizing advanced analytical tools and investigative techniques to detect and prevent fraudulent activities (Rezaee, 2005). Technologies such as data analytics further enhance the effectiveness of forensic accounting by enabling the identification of unusual patterns and discrepancies in financial data (Alles et al., 2018).</w:t>
      </w:r>
    </w:p>
    <w:p w14:paraId="2C24011E"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lastRenderedPageBreak/>
        <w:t>Moreover, the rise of high-frequency trading and global financial transactions presents new challenges for maintaining balanced accounting records. The speed and volume of transactions increase the risk of errors and require sophisticated systems capable of processing large datasets in real time (</w:t>
      </w:r>
      <w:proofErr w:type="spellStart"/>
      <w:r w:rsidRPr="00AC2216">
        <w:rPr>
          <w:rFonts w:ascii="Times New Roman" w:hAnsi="Times New Roman" w:cs="Times New Roman"/>
          <w:szCs w:val="24"/>
        </w:rPr>
        <w:t>Vasarhelyi</w:t>
      </w:r>
      <w:proofErr w:type="spellEnd"/>
      <w:r w:rsidRPr="00AC2216">
        <w:rPr>
          <w:rFonts w:ascii="Times New Roman" w:hAnsi="Times New Roman" w:cs="Times New Roman"/>
          <w:szCs w:val="24"/>
        </w:rPr>
        <w:t xml:space="preserve"> et al., 2015). This highlights the need for integrating technological solutions with traditional accounting principles to ensure accuracy and reliability.</w:t>
      </w:r>
    </w:p>
    <w:p w14:paraId="7C4BA0FB"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 xml:space="preserve">Overall, the integration of modern technology into the double-entry accounting system represents a significant shift in financial reporting practices. While the foundational principles remain unchanged, their application has evolved to address contemporary challenges related to complexity, fraud prevention, and global operations. This report aims to critically </w:t>
      </w:r>
      <w:proofErr w:type="spellStart"/>
      <w:r w:rsidRPr="00AC2216">
        <w:rPr>
          <w:rFonts w:ascii="Times New Roman" w:hAnsi="Times New Roman" w:cs="Times New Roman"/>
          <w:szCs w:val="24"/>
        </w:rPr>
        <w:t>analyze</w:t>
      </w:r>
      <w:proofErr w:type="spellEnd"/>
      <w:r w:rsidRPr="00AC2216">
        <w:rPr>
          <w:rFonts w:ascii="Times New Roman" w:hAnsi="Times New Roman" w:cs="Times New Roman"/>
          <w:szCs w:val="24"/>
        </w:rPr>
        <w:t xml:space="preserve"> these developments and assess their implications for the future of accounting.</w:t>
      </w:r>
    </w:p>
    <w:p w14:paraId="28A71225" w14:textId="77777777" w:rsidR="00CD6F2C" w:rsidRPr="00742F7E" w:rsidRDefault="00CD6F2C" w:rsidP="00742F7E">
      <w:pPr>
        <w:spacing w:line="360" w:lineRule="auto"/>
        <w:rPr>
          <w:rFonts w:ascii="Times New Roman" w:hAnsi="Times New Roman" w:cs="Times New Roman"/>
          <w:szCs w:val="24"/>
        </w:rPr>
      </w:pPr>
    </w:p>
    <w:p w14:paraId="3F4F0929" w14:textId="77777777" w:rsidR="00CD6F2C" w:rsidRPr="00742F7E" w:rsidRDefault="00CD6F2C" w:rsidP="00742F7E">
      <w:pPr>
        <w:pStyle w:val="Heading2"/>
        <w:spacing w:line="360" w:lineRule="auto"/>
        <w:rPr>
          <w:rFonts w:ascii="Times New Roman" w:hAnsi="Times New Roman" w:cs="Times New Roman"/>
          <w:sz w:val="24"/>
          <w:szCs w:val="24"/>
        </w:rPr>
      </w:pPr>
      <w:bookmarkStart w:id="2" w:name="_Toc224846301"/>
      <w:r w:rsidRPr="00742F7E">
        <w:rPr>
          <w:rFonts w:ascii="Times New Roman" w:hAnsi="Times New Roman" w:cs="Times New Roman"/>
          <w:sz w:val="24"/>
          <w:szCs w:val="24"/>
        </w:rPr>
        <w:t>Literature Review</w:t>
      </w:r>
      <w:bookmarkEnd w:id="2"/>
    </w:p>
    <w:p w14:paraId="22C351B0"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The double-entry accounting system has remained a foundational principle in financial reporting, ensuring accuracy and internal consistency through the dual recording of transactions. However, with the increasing complexity of financial systems and technological advancements, the traditional framework has undergone significant transformation. Existing literature highlights that while the core principles of double-entry accounting remain unchanged, their application has evolved in response to globalization, digitalization, and the growing need for fraud prevention (</w:t>
      </w:r>
      <w:proofErr w:type="spellStart"/>
      <w:r w:rsidRPr="00AC2216">
        <w:rPr>
          <w:rFonts w:ascii="Times New Roman" w:hAnsi="Times New Roman" w:cs="Times New Roman"/>
          <w:szCs w:val="24"/>
        </w:rPr>
        <w:t>Yamey</w:t>
      </w:r>
      <w:proofErr w:type="spellEnd"/>
      <w:r w:rsidRPr="00AC2216">
        <w:rPr>
          <w:rFonts w:ascii="Times New Roman" w:hAnsi="Times New Roman" w:cs="Times New Roman"/>
          <w:szCs w:val="24"/>
        </w:rPr>
        <w:t xml:space="preserve">, 1949; </w:t>
      </w:r>
      <w:proofErr w:type="spellStart"/>
      <w:r w:rsidRPr="00AC2216">
        <w:rPr>
          <w:rFonts w:ascii="Times New Roman" w:hAnsi="Times New Roman" w:cs="Times New Roman"/>
          <w:szCs w:val="24"/>
        </w:rPr>
        <w:t>Kieso</w:t>
      </w:r>
      <w:proofErr w:type="spellEnd"/>
      <w:r w:rsidRPr="00AC2216">
        <w:rPr>
          <w:rFonts w:ascii="Times New Roman" w:hAnsi="Times New Roman" w:cs="Times New Roman"/>
          <w:szCs w:val="24"/>
        </w:rPr>
        <w:t xml:space="preserve"> et al., 2020).</w:t>
      </w:r>
    </w:p>
    <w:p w14:paraId="3A218E20"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One of the most prominent developments in recent literature is the integration of advanced technologies such as artificial intelligence (AI) into accounting systems. AI has the potential to automate repetitive accounting tasks, improve data accuracy, and detect anomalies in financial transactions. Issa et al. (2016) argue that AI enhances auditing efficiency by identifying irregular patterns that may indicate fraud. Similarly, Alles et al. (2018) emphasize that continuous auditing systems, powered by data analytics, allow for real-time monitoring of financial transactions, thereby strengthening internal controls. These technological advancements extend the capabilities of the double-entry system by enabling proactive rather than reactive financial oversight.</w:t>
      </w:r>
    </w:p>
    <w:p w14:paraId="34563C84"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lastRenderedPageBreak/>
        <w:t xml:space="preserve">Blockchain technology has also gained considerable attention in accounting research due to its potential to revolutionize the double-entry system. Dai and </w:t>
      </w:r>
      <w:proofErr w:type="spellStart"/>
      <w:r w:rsidRPr="00AC2216">
        <w:rPr>
          <w:rFonts w:ascii="Times New Roman" w:hAnsi="Times New Roman" w:cs="Times New Roman"/>
          <w:szCs w:val="24"/>
        </w:rPr>
        <w:t>Vasarhelyi</w:t>
      </w:r>
      <w:proofErr w:type="spellEnd"/>
      <w:r w:rsidRPr="00AC2216">
        <w:rPr>
          <w:rFonts w:ascii="Times New Roman" w:hAnsi="Times New Roman" w:cs="Times New Roman"/>
          <w:szCs w:val="24"/>
        </w:rPr>
        <w:t xml:space="preserve"> (2017) propose the concept of “triple-entry accounting,” where blockchain serves as a third entry that independently verifies transactions. This decentralized and immutable ledger system enhances transparency and significantly reduces the risk of data manipulation. Coyne and McMickle (2017) further argue that blockchain improves auditability by providing a secure and tamper-proof record of transactions. However, despite its advantages, the adoption of blockchain in accounting faces challenges related to scalability, regulatory uncertainty, and integration with existing systems (Schmitz &amp; Leoni, 2019).</w:t>
      </w:r>
    </w:p>
    <w:p w14:paraId="6B5C5417"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The evolution of debits and credits in the context of complex financial instruments is another key theme in the literature. Modern financial markets involve sophisticated instruments such as derivatives, which require advanced accounting treatments. Ryan (2008) notes that the valuation and recognition of derivatives introduce complexities that challenge the traditional double-entry framework. Similarly, Penman (2007) argues that fair value accounting, often applied to such instruments, increases the relevance of financial information but also introduces subjectivity and volatility. This highlights the need for enhanced accounting standards and professional judgment to ensure accurate representation of financial transactions.</w:t>
      </w:r>
    </w:p>
    <w:p w14:paraId="5012E2C7"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Fraud prevention remains a critical concern in accounting, and the literature underscores the importance of forensic accounting within the double-entry framework. The balancing nature of double-entry accounting provides an inherent mechanism for detecting errors; however, it is not sufficient to prevent intentional manipulation (Healy &amp; Palepu, 2003). Rezaee (2005) explains that financial statement fraud often involves deliberate misrepresentation that can bypass traditional controls. As a result, forensic accounting has emerged as a specialized field focused on investigating financial irregularities and supporting legal proceedings.</w:t>
      </w:r>
    </w:p>
    <w:p w14:paraId="7F92BFD6"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 xml:space="preserve">The integration of data analytics into forensic accounting has further enhanced fraud detection capabilities. </w:t>
      </w:r>
      <w:proofErr w:type="spellStart"/>
      <w:r w:rsidRPr="00AC2216">
        <w:rPr>
          <w:rFonts w:ascii="Times New Roman" w:hAnsi="Times New Roman" w:cs="Times New Roman"/>
          <w:szCs w:val="24"/>
        </w:rPr>
        <w:t>Vasarhelyi</w:t>
      </w:r>
      <w:proofErr w:type="spellEnd"/>
      <w:r w:rsidRPr="00AC2216">
        <w:rPr>
          <w:rFonts w:ascii="Times New Roman" w:hAnsi="Times New Roman" w:cs="Times New Roman"/>
          <w:szCs w:val="24"/>
        </w:rPr>
        <w:t xml:space="preserve"> et al. (2015) highlight that big data technologies enable the analysis of large volumes of financial information, making it easier to identify anomalies and suspicious patterns. Additionally, machine learning algorithms can continuously improve fraud detection models by learning from historical data (Alles et al., 2018). These advancements demonstrate </w:t>
      </w:r>
      <w:r w:rsidRPr="00AC2216">
        <w:rPr>
          <w:rFonts w:ascii="Times New Roman" w:hAnsi="Times New Roman" w:cs="Times New Roman"/>
          <w:szCs w:val="24"/>
        </w:rPr>
        <w:lastRenderedPageBreak/>
        <w:t>how technology complements the double-entry system by strengthening its role in ensuring financial integrity.</w:t>
      </w:r>
    </w:p>
    <w:p w14:paraId="3BD662E3"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Corporate governance also plays a significant role in fraud prevention and the effectiveness of accounting systems. Bushman and Smith (2001) argue that high-quality financial reporting is essential for reducing agency problems and improving transparency. Strong governance mechanisms, such as independent audits and regulatory oversight, enhance the reliability of accounting information and reduce the likelihood of fraudulent activities. Furthermore, Jensen and Meckling (1976) highlight that agency conflicts between management and shareholders necessitate robust monitoring systems, which are supported by accurate and transparent accounting practices.</w:t>
      </w:r>
    </w:p>
    <w:p w14:paraId="2A9C78E8"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 xml:space="preserve">Another important area of discussion in the literature is the challenge of maintaining balanced financial statements in high-frequency trading and global financial environments. The rapid pace and volume of transactions in modern financial markets require advanced systems capable of processing data in real time. </w:t>
      </w:r>
      <w:proofErr w:type="spellStart"/>
      <w:r w:rsidRPr="00AC2216">
        <w:rPr>
          <w:rFonts w:ascii="Times New Roman" w:hAnsi="Times New Roman" w:cs="Times New Roman"/>
          <w:szCs w:val="24"/>
        </w:rPr>
        <w:t>Vasarhelyi</w:t>
      </w:r>
      <w:proofErr w:type="spellEnd"/>
      <w:r w:rsidRPr="00AC2216">
        <w:rPr>
          <w:rFonts w:ascii="Times New Roman" w:hAnsi="Times New Roman" w:cs="Times New Roman"/>
          <w:szCs w:val="24"/>
        </w:rPr>
        <w:t xml:space="preserve"> et al. (2015) emphasize that traditional accounting systems may struggle to keep pace with such demands, necessitating the integration of automated and real-time reporting technologies. This has led to the development of continuous accounting systems that update financial records instantaneously, ensuring accuracy and timeliness.</w:t>
      </w:r>
    </w:p>
    <w:p w14:paraId="4FD718F9"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 xml:space="preserve">Globalization has further increased the complexity of accounting practices by introducing cross-border transactions and diverse regulatory requirements. The adoption of International Financial Reporting Standards (IFRS) has aimed to harmonize accounting practices and improve comparability across jurisdictions (Ball, 2006). However, differences in implementation and enforcement continue to pose challenges. </w:t>
      </w:r>
      <w:proofErr w:type="spellStart"/>
      <w:r w:rsidRPr="00AC2216">
        <w:rPr>
          <w:rFonts w:ascii="Times New Roman" w:hAnsi="Times New Roman" w:cs="Times New Roman"/>
          <w:szCs w:val="24"/>
        </w:rPr>
        <w:t>Leuz</w:t>
      </w:r>
      <w:proofErr w:type="spellEnd"/>
      <w:r w:rsidRPr="00AC2216">
        <w:rPr>
          <w:rFonts w:ascii="Times New Roman" w:hAnsi="Times New Roman" w:cs="Times New Roman"/>
          <w:szCs w:val="24"/>
        </w:rPr>
        <w:t xml:space="preserve"> et al. (2003) argue that variations in investor protection and regulatory environments can affect the quality of financial reporting, highlighting the importance of institutional factors in accounting practices.</w:t>
      </w:r>
    </w:p>
    <w:p w14:paraId="09E5E73F"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 xml:space="preserve">Case studies of financial scandals provide valuable insights into the limitations of the double-entry system and the importance of technological and regulatory interventions. The Enron scandal, for example, demonstrated how off-balance-sheet arrangements and complex financial structures can be used to manipulate financial statements (Healy &amp; Palepu, 2003). Similarly, other corporate failures have highlighted the need for stronger internal controls, improved transparency, and enhanced auditing practices. These cases underscore the importance of </w:t>
      </w:r>
      <w:r w:rsidRPr="00AC2216">
        <w:rPr>
          <w:rFonts w:ascii="Times New Roman" w:hAnsi="Times New Roman" w:cs="Times New Roman"/>
          <w:szCs w:val="24"/>
        </w:rPr>
        <w:lastRenderedPageBreak/>
        <w:t>integrating modern technologies and governance mechanisms with traditional accounting principles to prevent fraud.</w:t>
      </w:r>
    </w:p>
    <w:p w14:paraId="53E506BF" w14:textId="77777777" w:rsidR="00AC2216" w:rsidRPr="00AC2216" w:rsidRDefault="00AC2216" w:rsidP="00742F7E">
      <w:pPr>
        <w:spacing w:line="360" w:lineRule="auto"/>
        <w:rPr>
          <w:rFonts w:ascii="Times New Roman" w:hAnsi="Times New Roman" w:cs="Times New Roman"/>
          <w:szCs w:val="24"/>
        </w:rPr>
      </w:pPr>
      <w:r w:rsidRPr="00AC2216">
        <w:rPr>
          <w:rFonts w:ascii="Times New Roman" w:hAnsi="Times New Roman" w:cs="Times New Roman"/>
          <w:szCs w:val="24"/>
        </w:rPr>
        <w:t>Overall, the literature suggests that while the double-entry accounting system remains fundamental, its effectiveness in modern financial reporting depends on its integration with advanced technologies and robust governance frameworks. AI, blockchain, and data analytics have significantly enhanced the capabilities of accounting systems, particularly in terms of accuracy and fraud detection. However, these advancements also introduce new challenges related to implementation, regulation, and ethical considerations. As financial systems continue to evolve, accounting practices must adapt to ensure that they remain relevant, reliable, and capable of supporting informed decision-making.</w:t>
      </w:r>
    </w:p>
    <w:p w14:paraId="3D4BF563" w14:textId="77777777" w:rsidR="00AC2216" w:rsidRPr="00742F7E" w:rsidRDefault="00AC2216" w:rsidP="00742F7E">
      <w:pPr>
        <w:spacing w:line="360" w:lineRule="auto"/>
        <w:rPr>
          <w:rFonts w:ascii="Times New Roman" w:hAnsi="Times New Roman" w:cs="Times New Roman"/>
          <w:szCs w:val="24"/>
        </w:rPr>
      </w:pPr>
    </w:p>
    <w:p w14:paraId="56597380" w14:textId="777CFBCA" w:rsidR="00AC2216" w:rsidRPr="00742F7E" w:rsidRDefault="00322E52" w:rsidP="00742F7E">
      <w:pPr>
        <w:pStyle w:val="Heading2"/>
        <w:spacing w:line="360" w:lineRule="auto"/>
        <w:rPr>
          <w:rFonts w:ascii="Times New Roman" w:hAnsi="Times New Roman" w:cs="Times New Roman"/>
          <w:sz w:val="24"/>
          <w:szCs w:val="24"/>
        </w:rPr>
      </w:pPr>
      <w:bookmarkStart w:id="3" w:name="_Toc224846302"/>
      <w:r w:rsidRPr="00742F7E">
        <w:rPr>
          <w:rFonts w:ascii="Times New Roman" w:hAnsi="Times New Roman" w:cs="Times New Roman"/>
          <w:sz w:val="24"/>
          <w:szCs w:val="24"/>
        </w:rPr>
        <w:t>Methodology</w:t>
      </w:r>
      <w:bookmarkEnd w:id="3"/>
    </w:p>
    <w:p w14:paraId="794C4DA1" w14:textId="10D46920"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This study adopts a qualitative research design to examine the integration of modern technology into the double-entry accounting system and its role in fraud prevention. A qualitative approach is appropriate because the research focuses on </w:t>
      </w:r>
      <w:proofErr w:type="spellStart"/>
      <w:r w:rsidRPr="00742F7E">
        <w:rPr>
          <w:rFonts w:ascii="Times New Roman" w:hAnsi="Times New Roman" w:cs="Times New Roman"/>
          <w:szCs w:val="24"/>
        </w:rPr>
        <w:t>analyzing</w:t>
      </w:r>
      <w:proofErr w:type="spellEnd"/>
      <w:r w:rsidRPr="00742F7E">
        <w:rPr>
          <w:rFonts w:ascii="Times New Roman" w:hAnsi="Times New Roman" w:cs="Times New Roman"/>
          <w:szCs w:val="24"/>
        </w:rPr>
        <w:t xml:space="preserve"> theoretical developments, technological innovations, and practical applications rather than relying on numerical or statistical data. The study primarily uses secondary data collected from peer-reviewed journal articles, academic textbooks, professional reports, and accounting standards available through databases such as Google Scholar, ScienceDirect, and JSTOR.</w:t>
      </w:r>
    </w:p>
    <w:p w14:paraId="7E5F160B" w14:textId="3FD1A41A"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A systematic literature review method is employed to identify and evaluate relevant sources related to key themes, including artificial intelligence in accounting, blockchain integration, forensic accounting, and fraud detection mechanisms. Keywords used during the search process include “double-entry accounting,” “blockchain accounting,” “AI in auditing,” “forensic accounting,” and “fraud detection in financial reporting.” Priority was given to scholarly articles with DOI references and widely cited works to ensure reliability and academic credibility (Issa et al., 2016; Dai &amp;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2017).</w:t>
      </w:r>
    </w:p>
    <w:p w14:paraId="709819CA" w14:textId="68914B1D"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The study uses a comparative and analytical framework to assess how traditional accounting principles are being transformed by technological advancements. For instance, the integration of blockchain is evaluated by comparing its decentralized verification system with the traditional </w:t>
      </w:r>
      <w:r w:rsidRPr="00742F7E">
        <w:rPr>
          <w:rFonts w:ascii="Times New Roman" w:hAnsi="Times New Roman" w:cs="Times New Roman"/>
          <w:szCs w:val="24"/>
        </w:rPr>
        <w:lastRenderedPageBreak/>
        <w:t xml:space="preserve">double-entry framework (Coyne &amp; McMickle, 2017). Similarly, AI-based accounting tools are </w:t>
      </w:r>
      <w:proofErr w:type="spellStart"/>
      <w:r w:rsidRPr="00742F7E">
        <w:rPr>
          <w:rFonts w:ascii="Times New Roman" w:hAnsi="Times New Roman" w:cs="Times New Roman"/>
          <w:szCs w:val="24"/>
        </w:rPr>
        <w:t>analyzed</w:t>
      </w:r>
      <w:proofErr w:type="spellEnd"/>
      <w:r w:rsidRPr="00742F7E">
        <w:rPr>
          <w:rFonts w:ascii="Times New Roman" w:hAnsi="Times New Roman" w:cs="Times New Roman"/>
          <w:szCs w:val="24"/>
        </w:rPr>
        <w:t xml:space="preserve"> in terms of their ability to automate transaction recording and detect anomalies in financial data (Alles et al., 2018). This approach allows for a critical assessment of both the benefits and limitations of technological integration.</w:t>
      </w:r>
    </w:p>
    <w:p w14:paraId="3F531A4E" w14:textId="28FB974A"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In addition, the methodology incorporates conceptual analysis of debits and credits within complex financial instruments such as derivatives. This involves reviewing accounting standards and scholarly discussions to understand how modern financial transactions are represented within the double-entry system (Ryan, 2008). The role of forensic accounting is also examined through case-based analysis, focusing on how investigative techniques and data analytics tools are used to identify fraud (Rezaee, 2005).</w:t>
      </w:r>
    </w:p>
    <w:p w14:paraId="100ABA9A" w14:textId="56E7C01B"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To ensure validity, the study cross-references multiple academic sources and incorporates diverse perspectives from accounting theory, auditing, and financial regulation. However, the reliance on secondary data presents certain limitations, as findings are based on interpretations of existing studies rather than primary empirical evidence. Despite this, the use of high-quality, peer-reviewed sources ensures that the analysis remains comprehensive and credible.</w:t>
      </w:r>
    </w:p>
    <w:p w14:paraId="5DE3422D" w14:textId="06A55215" w:rsidR="00AC2216" w:rsidRPr="00742F7E" w:rsidRDefault="00AC2216" w:rsidP="00742F7E">
      <w:pPr>
        <w:spacing w:line="360" w:lineRule="auto"/>
        <w:rPr>
          <w:rFonts w:ascii="Times New Roman" w:hAnsi="Times New Roman" w:cs="Times New Roman"/>
          <w:szCs w:val="24"/>
        </w:rPr>
      </w:pPr>
      <w:r w:rsidRPr="00742F7E">
        <w:rPr>
          <w:rFonts w:ascii="Times New Roman" w:hAnsi="Times New Roman" w:cs="Times New Roman"/>
          <w:szCs w:val="24"/>
        </w:rPr>
        <w:t>Overall, this methodology provides a structured approach to exploring the intersection of traditional accounting systems and modern technological innovations, enabling a critical evaluation of their combined role in enhancing financial reporting and fraud prevention.</w:t>
      </w:r>
    </w:p>
    <w:p w14:paraId="64C3EBF8" w14:textId="77777777" w:rsidR="00322E52" w:rsidRDefault="00322E52" w:rsidP="00742F7E">
      <w:pPr>
        <w:spacing w:line="360" w:lineRule="auto"/>
        <w:rPr>
          <w:rFonts w:ascii="Times New Roman" w:hAnsi="Times New Roman" w:cs="Times New Roman"/>
          <w:szCs w:val="24"/>
        </w:rPr>
      </w:pPr>
    </w:p>
    <w:p w14:paraId="3B88E572" w14:textId="77777777" w:rsidR="00742F7E" w:rsidRDefault="00742F7E" w:rsidP="00742F7E">
      <w:pPr>
        <w:spacing w:line="360" w:lineRule="auto"/>
        <w:rPr>
          <w:rFonts w:ascii="Times New Roman" w:hAnsi="Times New Roman" w:cs="Times New Roman"/>
          <w:szCs w:val="24"/>
        </w:rPr>
      </w:pPr>
    </w:p>
    <w:p w14:paraId="120E4301" w14:textId="77777777" w:rsidR="00742F7E" w:rsidRDefault="00742F7E" w:rsidP="00742F7E">
      <w:pPr>
        <w:spacing w:line="360" w:lineRule="auto"/>
        <w:rPr>
          <w:rFonts w:ascii="Times New Roman" w:hAnsi="Times New Roman" w:cs="Times New Roman"/>
          <w:szCs w:val="24"/>
        </w:rPr>
      </w:pPr>
    </w:p>
    <w:p w14:paraId="066B8D95" w14:textId="77777777" w:rsidR="00742F7E" w:rsidRDefault="00742F7E" w:rsidP="00742F7E">
      <w:pPr>
        <w:spacing w:line="360" w:lineRule="auto"/>
        <w:rPr>
          <w:rFonts w:ascii="Times New Roman" w:hAnsi="Times New Roman" w:cs="Times New Roman"/>
          <w:szCs w:val="24"/>
        </w:rPr>
      </w:pPr>
    </w:p>
    <w:p w14:paraId="43D694A9" w14:textId="77777777" w:rsidR="00742F7E" w:rsidRDefault="00742F7E" w:rsidP="00742F7E">
      <w:pPr>
        <w:spacing w:line="360" w:lineRule="auto"/>
        <w:rPr>
          <w:rFonts w:ascii="Times New Roman" w:hAnsi="Times New Roman" w:cs="Times New Roman"/>
          <w:szCs w:val="24"/>
        </w:rPr>
      </w:pPr>
    </w:p>
    <w:p w14:paraId="221E148E" w14:textId="77777777" w:rsidR="00742F7E" w:rsidRDefault="00742F7E" w:rsidP="00742F7E">
      <w:pPr>
        <w:spacing w:line="360" w:lineRule="auto"/>
        <w:rPr>
          <w:rFonts w:ascii="Times New Roman" w:hAnsi="Times New Roman" w:cs="Times New Roman"/>
          <w:szCs w:val="24"/>
        </w:rPr>
      </w:pPr>
    </w:p>
    <w:p w14:paraId="1F3A3386" w14:textId="77777777" w:rsidR="00742F7E" w:rsidRDefault="00742F7E" w:rsidP="00742F7E">
      <w:pPr>
        <w:spacing w:line="360" w:lineRule="auto"/>
        <w:rPr>
          <w:rFonts w:ascii="Times New Roman" w:hAnsi="Times New Roman" w:cs="Times New Roman"/>
          <w:szCs w:val="24"/>
        </w:rPr>
      </w:pPr>
    </w:p>
    <w:p w14:paraId="4340969C" w14:textId="77777777" w:rsidR="00742F7E" w:rsidRPr="00742F7E" w:rsidRDefault="00742F7E" w:rsidP="00742F7E">
      <w:pPr>
        <w:spacing w:line="360" w:lineRule="auto"/>
        <w:rPr>
          <w:rFonts w:ascii="Times New Roman" w:hAnsi="Times New Roman" w:cs="Times New Roman"/>
          <w:szCs w:val="24"/>
        </w:rPr>
      </w:pPr>
    </w:p>
    <w:p w14:paraId="6C916AD4" w14:textId="13C1BDED" w:rsidR="00AC2216" w:rsidRPr="00742F7E" w:rsidRDefault="009D452D" w:rsidP="00742F7E">
      <w:pPr>
        <w:pStyle w:val="Heading2"/>
        <w:spacing w:line="360" w:lineRule="auto"/>
        <w:rPr>
          <w:rFonts w:ascii="Times New Roman" w:hAnsi="Times New Roman" w:cs="Times New Roman"/>
          <w:sz w:val="24"/>
          <w:szCs w:val="24"/>
        </w:rPr>
      </w:pPr>
      <w:bookmarkStart w:id="4" w:name="_Toc224846304"/>
      <w:r w:rsidRPr="00742F7E">
        <w:rPr>
          <w:rFonts w:ascii="Times New Roman" w:hAnsi="Times New Roman" w:cs="Times New Roman"/>
          <w:sz w:val="24"/>
          <w:szCs w:val="24"/>
        </w:rPr>
        <w:lastRenderedPageBreak/>
        <w:t>Findings</w:t>
      </w:r>
      <w:bookmarkEnd w:id="4"/>
    </w:p>
    <w:p w14:paraId="15C46465"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The findings of this study indicate that the integration of modern technology into the double-entry accounting system has significantly enhanced the accuracy, efficiency, and reliability of financial reporting. One of the most notable findings is the transformative role of artificial intelligence (AI) in automating accounting processes. AI-powered systems </w:t>
      </w:r>
      <w:proofErr w:type="gramStart"/>
      <w:r w:rsidRPr="00742F7E">
        <w:rPr>
          <w:rFonts w:ascii="Times New Roman" w:hAnsi="Times New Roman" w:cs="Times New Roman"/>
          <w:szCs w:val="24"/>
        </w:rPr>
        <w:t>are capable of processing</w:t>
      </w:r>
      <w:proofErr w:type="gramEnd"/>
      <w:r w:rsidRPr="00742F7E">
        <w:rPr>
          <w:rFonts w:ascii="Times New Roman" w:hAnsi="Times New Roman" w:cs="Times New Roman"/>
          <w:szCs w:val="24"/>
        </w:rPr>
        <w:t xml:space="preserve"> large volumes of financial data, identifying anomalies, and reducing human error. Issa et al. (2016) highlight that AI improves auditing by detecting irregular patterns that may indicate fraud, while Alles et al. (2018) demonstrate that continuous auditing systems enable real-time monitoring of transactions. These advancements strengthen the traditional double-entry system by adding a layer of intelligent verification.</w:t>
      </w:r>
    </w:p>
    <w:p w14:paraId="2A4C437F" w14:textId="77777777" w:rsidR="00742F7E" w:rsidRPr="00742F7E" w:rsidRDefault="00742F7E" w:rsidP="00742F7E">
      <w:pPr>
        <w:spacing w:line="360" w:lineRule="auto"/>
        <w:rPr>
          <w:rFonts w:ascii="Times New Roman" w:hAnsi="Times New Roman" w:cs="Times New Roman"/>
          <w:szCs w:val="24"/>
        </w:rPr>
      </w:pPr>
    </w:p>
    <w:p w14:paraId="2CD036AE" w14:textId="0A9FF914"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Another key finding is the growing importance of blockchain technology in accounting. Blockchain introduces a decentralized and immutable ledger system that enhances transparency and trust in financial reporting. Dai and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(2017) suggest that blockchain can function as a “third entry,” independently verifying transactions recorded under the double-entry system. This significantly reduces the risk of manipulation and fraud. Additionally, Coyne and McMickle (2017) argue that blockchain improves audit efficiency by providing a secure and tamper-proof record of transactions. However, the findings also indicate that challenges such as regulatory uncertainty and implementation costs limit widespread adoption (Schmitz &amp; Leoni, 2019).</w:t>
      </w:r>
    </w:p>
    <w:p w14:paraId="70B66385" w14:textId="36232EC9"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The study also finds that the evolution of debits and credits has become increasingly complex due to the rise of sophisticated financial instruments such as derivatives. Traditional accounting methods must now accommodate fair value measurements and complex valuation models. Ryan (2008) notes that these instruments introduce challenges in accurately representing financial positions, while Penman (2007) emphasizes the trade-off between relevance and reliability in financial reporting. Despite these complexities, the double-entry system continues to provide a structured framework for recording such transactions.</w:t>
      </w:r>
    </w:p>
    <w:p w14:paraId="5D42CAA6" w14:textId="7EC6A989"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Fraud detection emerges as a critical area where the double-entry system, combined with modern technologies, demonstrates significant effectiveness. While the balancing principle of double-entry accounting helps identify errors, it is insufficient to detect intentional fraud (Healy &amp; </w:t>
      </w:r>
      <w:r w:rsidRPr="00742F7E">
        <w:rPr>
          <w:rFonts w:ascii="Times New Roman" w:hAnsi="Times New Roman" w:cs="Times New Roman"/>
          <w:szCs w:val="24"/>
        </w:rPr>
        <w:lastRenderedPageBreak/>
        <w:t>Palepu, 2003). The findings show that forensic accounting plays a vital role in addressing this limitation. Rezaee (2005) explains that forensic accountants use investigative techniques and analytical tools to uncover fraudulent activities. Furthermore, the integration of big data analytics enhances the ability to detect anomalies and patterns indicative of fraud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et al., 2015).</w:t>
      </w:r>
    </w:p>
    <w:p w14:paraId="541FF922" w14:textId="3909E71B"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Corporate governance is also identified as a key factor influencing the effectiveness of accounting systems in fraud prevention. Strong governance mechanisms, including internal controls and independent audits, improve the reliability of financial reporting and reduce the likelihood of manipulation (Bushman &amp; Smith, 2001). Additionally, agency theory suggests that conflicts between management and shareholders necessitate robust monitoring systems, which are supported by transparent accounting practices (Jensen &amp; Meckling, 1976).</w:t>
      </w:r>
    </w:p>
    <w:p w14:paraId="0A3AEB8E" w14:textId="4BF3D225"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Another important finding relates to the challenges posed by high-frequency trading and global financial transactions. The speed and volume of transactions in modern financial markets require advanced systems capable of real-time processing.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et al. (2015) note that traditional accounting systems may struggle to keep pace with these demands, leading to potential errors and delays. The integration of automated systems and continuous reporting mechanisms addresses these challenges by ensuring timely and accurate financial data.</w:t>
      </w:r>
    </w:p>
    <w:p w14:paraId="5BFB258C" w14:textId="63D1BF63"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Case studies of financial fraud further highlight the importance of integrating technology with the double-entry system. The Enron scandal demonstrated how complex financial structures and off-balance-sheet arrangements can be used to manipulate financial statements (Healy &amp; Palepu, 2003). Such cases underscore the need for enhanced transparency, stricter regulations, and advanced technological tools to prevent similar occurrences in the future.</w:t>
      </w:r>
    </w:p>
    <w:p w14:paraId="4AEBD05E" w14:textId="4CDC5129" w:rsidR="00AC2216"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Overall, the findings suggest that while the double-entry accounting system remains fundamental, its effectiveness in modern financial reporting depends on its integration with advanced technologies and strong governance frameworks. AI, blockchain, and data analytics significantly enhance the system’s ability to ensure accuracy and detect fraud. However, challenges related to implementation, regulation, and complexity must be addressed to fully realize their potential.</w:t>
      </w:r>
    </w:p>
    <w:p w14:paraId="1721F912" w14:textId="77777777" w:rsidR="00742F7E" w:rsidRPr="00742F7E" w:rsidRDefault="00742F7E" w:rsidP="00742F7E">
      <w:pPr>
        <w:spacing w:line="360" w:lineRule="auto"/>
        <w:rPr>
          <w:rFonts w:ascii="Times New Roman" w:hAnsi="Times New Roman" w:cs="Times New Roman"/>
          <w:szCs w:val="24"/>
        </w:rPr>
      </w:pPr>
    </w:p>
    <w:p w14:paraId="38710008" w14:textId="023B5B3A" w:rsidR="008A4EF3" w:rsidRPr="00742F7E" w:rsidRDefault="009D452D" w:rsidP="00742F7E">
      <w:pPr>
        <w:pStyle w:val="Heading2"/>
        <w:spacing w:line="360" w:lineRule="auto"/>
        <w:rPr>
          <w:rFonts w:ascii="Times New Roman" w:hAnsi="Times New Roman" w:cs="Times New Roman"/>
          <w:sz w:val="24"/>
          <w:szCs w:val="24"/>
        </w:rPr>
      </w:pPr>
      <w:bookmarkStart w:id="5" w:name="_Toc224846305"/>
      <w:r w:rsidRPr="00742F7E">
        <w:rPr>
          <w:rFonts w:ascii="Times New Roman" w:hAnsi="Times New Roman" w:cs="Times New Roman"/>
          <w:sz w:val="24"/>
          <w:szCs w:val="24"/>
        </w:rPr>
        <w:lastRenderedPageBreak/>
        <w:t>Discussion</w:t>
      </w:r>
      <w:bookmarkEnd w:id="5"/>
    </w:p>
    <w:p w14:paraId="61B04AFD"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The findings of this study highlight the significant transformation of the double-entry accounting system through the integration of modern technologies and its evolving role in fraud prevention. While the fundamental principle of recording equal debits and credits remains unchanged, its application has become increasingly sophisticated in response to the complexities of global financial systems. This discussion critically evaluates these developments and their implications for accounting theory and practice.</w:t>
      </w:r>
    </w:p>
    <w:p w14:paraId="4339B09D"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One of the most important aspects emerging from the findings is the role of artificial intelligence (AI) in enhancing the efficiency and accuracy of accounting processes. AI-driven systems automate routine tasks, reduce human error, and improve the speed of financial reporting. Issa et al. (2016) argue that AI has the potential to revolutionize auditing by enabling continuous monitoring and anomaly detection. Similarly, Alles et al. (2018) emphasize that data analytics tools allow accountants to identify irregularities in real time, thereby strengthening internal controls. However, the increasing reliance on AI also raises concerns about data security, algorithmic bias, and the need for skilled professionals to interpret complex outputs. This suggests that while AI enhances the double-entry system, it cannot fully replace human judgment.</w:t>
      </w:r>
    </w:p>
    <w:p w14:paraId="173955AC"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Blockchain technology represents another significant advancement in accounting systems. The concept of triple-entry accounting, as proposed by Dai and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(2017), introduces a decentralized verification mechanism that complements the traditional double-entry framework. This enhances transparency and reduces the risk of fraud by ensuring that transactions are immutable and independently verified. Coyne and McMickle (2017) further argue that blockchain can improve audit efficiency by providing a reliable and tamper-proof record of transactions. However, challenges such as regulatory uncertainty, scalability issues, and integration with existing systems limit its widespread adoption (Schmitz &amp; Leoni, 2019). Therefore, while blockchain offers promising solutions, its implementation requires careful consideration of practical and regulatory constraints.</w:t>
      </w:r>
    </w:p>
    <w:p w14:paraId="0D986AC6"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The discussion of debits and credits in the context of complex financial instruments highlights the adaptability of the double-entry system. Modern financial markets involve sophisticated instruments such as derivatives, which require advanced valuation and recognition methods. </w:t>
      </w:r>
      <w:r w:rsidRPr="00742F7E">
        <w:rPr>
          <w:rFonts w:ascii="Times New Roman" w:hAnsi="Times New Roman" w:cs="Times New Roman"/>
          <w:szCs w:val="24"/>
        </w:rPr>
        <w:lastRenderedPageBreak/>
        <w:t>Ryan (2008) notes that these instruments introduce significant complexity into financial reporting, while Penman (2007) highlights the trade-off between relevance and reliability in fair value accounting. The double-entry system continues to provide a structured framework for recording such transactions, but its effectiveness depends on the accuracy of valuation techniques and adherence to accounting standards.</w:t>
      </w:r>
    </w:p>
    <w:p w14:paraId="2B44E5C1"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Fraud prevention remains a critical issue in financial reporting, and the discussion emphasizes the limitations of the double-entry system in detecting intentional manipulation. While the balancing principle ensures internal consistency, it does not guarantee the absence of fraud (Healy &amp; Palepu, 2003). This has led to the increasing importance of forensic accounting, which combines accounting expertise with investigative techniques to identify fraudulent activities. Rezaee (2005) highlights that forensic accounting plays a vital role in uncovering financial misstatements and supporting legal proceedings. The integration of data analytics further enhances fraud detection by enabling the analysis of large datasets and identifying patterns indicative of fraudulent </w:t>
      </w:r>
      <w:proofErr w:type="spellStart"/>
      <w:r w:rsidRPr="00742F7E">
        <w:rPr>
          <w:rFonts w:ascii="Times New Roman" w:hAnsi="Times New Roman" w:cs="Times New Roman"/>
          <w:szCs w:val="24"/>
        </w:rPr>
        <w:t>behavior</w:t>
      </w:r>
      <w:proofErr w:type="spellEnd"/>
      <w:r w:rsidRPr="00742F7E">
        <w:rPr>
          <w:rFonts w:ascii="Times New Roman" w:hAnsi="Times New Roman" w:cs="Times New Roman"/>
          <w:szCs w:val="24"/>
        </w:rPr>
        <w:t xml:space="preserve">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et al., 2015).</w:t>
      </w:r>
    </w:p>
    <w:p w14:paraId="0D2EDCF5"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Corporate governance is another critical factor influencing the effectiveness of accounting systems. Strong governance mechanisms, including independent audits and regulatory oversight, ensure the reliability and transparency of financial reporting. Bushman and Smith (2001) argue that high-quality financial information reduces agency problems and improves decision-making. Similarly, Jensen and Meckling (1976) emphasize that effective monitoring systems are essential for aligning the interests of management and shareholders. The discussion suggests that technological advancements alone are insufficient without robust governance frameworks to ensure ethical practices.</w:t>
      </w:r>
    </w:p>
    <w:p w14:paraId="59DF4D30"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The challenges associated with high-frequency trading and global financial transactions further underscore the need for integrating technology with traditional accounting systems. The rapid pace and volume of transactions require real-time processing capabilities that traditional systems may struggle to provide.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et al. (2015) highlight that continuous accounting systems address this challenge by updating financial records instantaneously. However, the complexity of global financial systems also increases the risk of errors and requires advanced control mechanisms to maintain accuracy.</w:t>
      </w:r>
    </w:p>
    <w:p w14:paraId="66A10E64"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lastRenderedPageBreak/>
        <w:t>Case studies of financial scandals provide valuable insights into the limitations of accounting systems and the importance of technological and regulatory interventions. The Enron scandal demonstrated how off-balance-sheet arrangements and complex financial structures can be used to manipulate financial statements (Healy &amp; Palepu, 2003). Such cases highlight the need for enhanced transparency, stricter regulations, and the integration of advanced technologies to prevent fraud.</w:t>
      </w:r>
    </w:p>
    <w:p w14:paraId="4BB1F801"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Overall, the discussion emphasizes that the double-entry accounting system remains a fundamental component of financial reporting, but its effectiveness in modern contexts depends on its integration with technology and governance mechanisms. While AI, blockchain, and data analytics enhance accuracy and fraud detection, they also introduce new challenges that require careful management. The future of accounting lies in balancing traditional principles with innovative solutions to address the evolving needs of global financial systems.</w:t>
      </w:r>
    </w:p>
    <w:p w14:paraId="2BEABFC2" w14:textId="77777777" w:rsidR="00742F7E" w:rsidRPr="00742F7E" w:rsidRDefault="00742F7E" w:rsidP="00742F7E">
      <w:pPr>
        <w:spacing w:line="360" w:lineRule="auto"/>
        <w:rPr>
          <w:rFonts w:ascii="Times New Roman" w:hAnsi="Times New Roman" w:cs="Times New Roman"/>
          <w:szCs w:val="24"/>
        </w:rPr>
      </w:pPr>
    </w:p>
    <w:p w14:paraId="41A559FE" w14:textId="4E7333E6" w:rsidR="008A4EF3" w:rsidRPr="00742F7E" w:rsidRDefault="00742F7E" w:rsidP="00742F7E">
      <w:pPr>
        <w:spacing w:line="360" w:lineRule="auto"/>
        <w:rPr>
          <w:rFonts w:ascii="Times New Roman" w:hAnsi="Times New Roman" w:cs="Times New Roman"/>
          <w:b/>
          <w:bCs/>
          <w:szCs w:val="24"/>
        </w:rPr>
      </w:pPr>
      <w:r w:rsidRPr="00742F7E">
        <w:rPr>
          <w:rFonts w:ascii="Times New Roman" w:hAnsi="Times New Roman" w:cs="Times New Roman"/>
          <w:b/>
          <w:bCs/>
          <w:szCs w:val="24"/>
        </w:rPr>
        <w:t xml:space="preserve">Conclusion </w:t>
      </w:r>
    </w:p>
    <w:p w14:paraId="66A79122"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This report has critically examined the role of the double-entry accounting system in the context of technological integration and fraud prevention in modern financial reporting. The analysis demonstrates that while the foundational principles of double-entry accounting remain unchanged, their application has evolved significantly to address the complexities of contemporary financial environments. The integration of technologies such as artificial intelligence, blockchain, and data analytics has enhanced the accuracy, efficiency, and transparency of financial reporting, while also strengthening fraud detection mechanisms.</w:t>
      </w:r>
    </w:p>
    <w:p w14:paraId="4577A256"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The study highlights that AI-driven systems improve the speed and reliability of accounting processes by automating tasks and identifying anomalies. Similarly, blockchain technology introduces a decentralized and immutable ledger system that enhances trust and reduces the risk of manipulation. However, these technologies also present challenges related to implementation, regulation, and the need for skilled professionals. Therefore, their effectiveness depends on careful integration with existing accounting systems and regulatory frameworks.</w:t>
      </w:r>
    </w:p>
    <w:p w14:paraId="199BA70B"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The report also emphasizes the importance of forensic accounting and corporate governance in fraud prevention. While the double-entry system provides a basic mechanism for detecting </w:t>
      </w:r>
      <w:r w:rsidRPr="00742F7E">
        <w:rPr>
          <w:rFonts w:ascii="Times New Roman" w:hAnsi="Times New Roman" w:cs="Times New Roman"/>
          <w:szCs w:val="24"/>
        </w:rPr>
        <w:lastRenderedPageBreak/>
        <w:t>errors, it is not sufficient to prevent intentional fraud. The use of advanced analytical tools and strong governance structures is essential for ensuring the integrity of financial reporting. Additionally, the increasing complexity of financial instruments and global transactions requires continuous adaptation of accounting practices to maintain accuracy and reliability.</w:t>
      </w:r>
    </w:p>
    <w:p w14:paraId="036416C2"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In conclusion, the double-entry accounting system remains a vital component of financial reporting, but its continued relevance depends on its ability to evolve alongside technological advancements and changing business environments. By integrating modern technologies and strengthening governance mechanisms, accounting systems can effectively address the challenges of fraud prevention and support informed decision-making in a globalized economy.</w:t>
      </w:r>
    </w:p>
    <w:p w14:paraId="35A872A1" w14:textId="77777777" w:rsidR="00742F7E" w:rsidRPr="00742F7E" w:rsidRDefault="00742F7E" w:rsidP="00742F7E">
      <w:pPr>
        <w:spacing w:line="360" w:lineRule="auto"/>
        <w:rPr>
          <w:rFonts w:ascii="Times New Roman" w:hAnsi="Times New Roman" w:cs="Times New Roman"/>
          <w:szCs w:val="24"/>
        </w:rPr>
      </w:pPr>
    </w:p>
    <w:p w14:paraId="0E475F0F" w14:textId="77777777" w:rsidR="008A4EF3" w:rsidRPr="00742F7E" w:rsidRDefault="008A4EF3" w:rsidP="00742F7E">
      <w:pPr>
        <w:spacing w:line="360" w:lineRule="auto"/>
        <w:rPr>
          <w:rFonts w:ascii="Times New Roman" w:hAnsi="Times New Roman" w:cs="Times New Roman"/>
          <w:szCs w:val="24"/>
        </w:rPr>
      </w:pPr>
    </w:p>
    <w:p w14:paraId="6EA2E32F" w14:textId="77777777" w:rsidR="008A4EF3" w:rsidRPr="00742F7E" w:rsidRDefault="008A4EF3" w:rsidP="00742F7E">
      <w:pPr>
        <w:spacing w:line="360" w:lineRule="auto"/>
        <w:rPr>
          <w:rFonts w:ascii="Times New Roman" w:hAnsi="Times New Roman" w:cs="Times New Roman"/>
          <w:szCs w:val="24"/>
        </w:rPr>
      </w:pPr>
    </w:p>
    <w:p w14:paraId="63779DD6" w14:textId="77777777" w:rsidR="008A4EF3" w:rsidRPr="00742F7E" w:rsidRDefault="008A4EF3" w:rsidP="00742F7E">
      <w:pPr>
        <w:spacing w:line="360" w:lineRule="auto"/>
        <w:rPr>
          <w:rFonts w:ascii="Times New Roman" w:hAnsi="Times New Roman" w:cs="Times New Roman"/>
          <w:szCs w:val="24"/>
        </w:rPr>
      </w:pPr>
    </w:p>
    <w:p w14:paraId="33C76029" w14:textId="77777777" w:rsidR="008A4EF3" w:rsidRPr="00742F7E" w:rsidRDefault="008A4EF3" w:rsidP="00742F7E">
      <w:pPr>
        <w:spacing w:line="360" w:lineRule="auto"/>
        <w:rPr>
          <w:rFonts w:ascii="Times New Roman" w:hAnsi="Times New Roman" w:cs="Times New Roman"/>
          <w:szCs w:val="24"/>
        </w:rPr>
      </w:pPr>
    </w:p>
    <w:p w14:paraId="50ACB673" w14:textId="77777777" w:rsidR="008A4EF3" w:rsidRDefault="008A4EF3" w:rsidP="00742F7E">
      <w:pPr>
        <w:spacing w:line="360" w:lineRule="auto"/>
        <w:rPr>
          <w:rFonts w:ascii="Times New Roman" w:hAnsi="Times New Roman" w:cs="Times New Roman"/>
          <w:szCs w:val="24"/>
        </w:rPr>
      </w:pPr>
    </w:p>
    <w:p w14:paraId="4FBA42E6" w14:textId="77777777" w:rsidR="00742F7E" w:rsidRDefault="00742F7E" w:rsidP="00742F7E">
      <w:pPr>
        <w:spacing w:line="360" w:lineRule="auto"/>
        <w:rPr>
          <w:rFonts w:ascii="Times New Roman" w:hAnsi="Times New Roman" w:cs="Times New Roman"/>
          <w:szCs w:val="24"/>
        </w:rPr>
      </w:pPr>
    </w:p>
    <w:p w14:paraId="5A1F4C47" w14:textId="77777777" w:rsidR="00742F7E" w:rsidRDefault="00742F7E" w:rsidP="00742F7E">
      <w:pPr>
        <w:spacing w:line="360" w:lineRule="auto"/>
        <w:rPr>
          <w:rFonts w:ascii="Times New Roman" w:hAnsi="Times New Roman" w:cs="Times New Roman"/>
          <w:szCs w:val="24"/>
        </w:rPr>
      </w:pPr>
    </w:p>
    <w:p w14:paraId="00A250C3" w14:textId="77777777" w:rsidR="00742F7E" w:rsidRDefault="00742F7E" w:rsidP="00742F7E">
      <w:pPr>
        <w:spacing w:line="360" w:lineRule="auto"/>
        <w:rPr>
          <w:rFonts w:ascii="Times New Roman" w:hAnsi="Times New Roman" w:cs="Times New Roman"/>
          <w:szCs w:val="24"/>
        </w:rPr>
      </w:pPr>
    </w:p>
    <w:p w14:paraId="34FF5691" w14:textId="77777777" w:rsidR="00742F7E" w:rsidRDefault="00742F7E" w:rsidP="00742F7E">
      <w:pPr>
        <w:spacing w:line="360" w:lineRule="auto"/>
        <w:rPr>
          <w:rFonts w:ascii="Times New Roman" w:hAnsi="Times New Roman" w:cs="Times New Roman"/>
          <w:szCs w:val="24"/>
        </w:rPr>
      </w:pPr>
    </w:p>
    <w:p w14:paraId="4FB321D9" w14:textId="77777777" w:rsidR="00742F7E" w:rsidRDefault="00742F7E" w:rsidP="00742F7E">
      <w:pPr>
        <w:spacing w:line="360" w:lineRule="auto"/>
        <w:rPr>
          <w:rFonts w:ascii="Times New Roman" w:hAnsi="Times New Roman" w:cs="Times New Roman"/>
          <w:szCs w:val="24"/>
        </w:rPr>
      </w:pPr>
    </w:p>
    <w:p w14:paraId="28136D1B" w14:textId="77777777" w:rsidR="00742F7E" w:rsidRDefault="00742F7E" w:rsidP="00742F7E">
      <w:pPr>
        <w:spacing w:line="360" w:lineRule="auto"/>
        <w:rPr>
          <w:rFonts w:ascii="Times New Roman" w:hAnsi="Times New Roman" w:cs="Times New Roman"/>
          <w:szCs w:val="24"/>
        </w:rPr>
      </w:pPr>
    </w:p>
    <w:p w14:paraId="212C79CB" w14:textId="77777777" w:rsidR="00742F7E" w:rsidRDefault="00742F7E" w:rsidP="00742F7E">
      <w:pPr>
        <w:spacing w:line="360" w:lineRule="auto"/>
        <w:rPr>
          <w:rFonts w:ascii="Times New Roman" w:hAnsi="Times New Roman" w:cs="Times New Roman"/>
          <w:szCs w:val="24"/>
        </w:rPr>
      </w:pPr>
    </w:p>
    <w:p w14:paraId="328DAAA1" w14:textId="77777777" w:rsidR="00742F7E" w:rsidRDefault="00742F7E" w:rsidP="00742F7E">
      <w:pPr>
        <w:spacing w:line="360" w:lineRule="auto"/>
        <w:rPr>
          <w:rFonts w:ascii="Times New Roman" w:hAnsi="Times New Roman" w:cs="Times New Roman"/>
          <w:szCs w:val="24"/>
        </w:rPr>
      </w:pPr>
    </w:p>
    <w:p w14:paraId="337D197E" w14:textId="77777777" w:rsidR="00742F7E" w:rsidRPr="00742F7E" w:rsidRDefault="00742F7E" w:rsidP="00742F7E">
      <w:pPr>
        <w:spacing w:line="360" w:lineRule="auto"/>
        <w:rPr>
          <w:rFonts w:ascii="Times New Roman" w:hAnsi="Times New Roman" w:cs="Times New Roman"/>
          <w:szCs w:val="24"/>
        </w:rPr>
      </w:pPr>
    </w:p>
    <w:p w14:paraId="13118494" w14:textId="56349505" w:rsidR="008A4EF3" w:rsidRPr="00742F7E" w:rsidRDefault="008279E6" w:rsidP="00742F7E">
      <w:pPr>
        <w:pStyle w:val="Heading2"/>
        <w:spacing w:line="360" w:lineRule="auto"/>
        <w:rPr>
          <w:rFonts w:ascii="Times New Roman" w:hAnsi="Times New Roman" w:cs="Times New Roman"/>
          <w:sz w:val="24"/>
          <w:szCs w:val="24"/>
        </w:rPr>
      </w:pPr>
      <w:bookmarkStart w:id="6" w:name="_Toc224846307"/>
      <w:r w:rsidRPr="00742F7E">
        <w:rPr>
          <w:rFonts w:ascii="Times New Roman" w:hAnsi="Times New Roman" w:cs="Times New Roman"/>
          <w:sz w:val="24"/>
          <w:szCs w:val="24"/>
        </w:rPr>
        <w:lastRenderedPageBreak/>
        <w:t>References</w:t>
      </w:r>
      <w:bookmarkEnd w:id="6"/>
    </w:p>
    <w:p w14:paraId="24551FD2" w14:textId="77777777" w:rsidR="008279E6" w:rsidRPr="00742F7E" w:rsidRDefault="008279E6" w:rsidP="00742F7E">
      <w:pPr>
        <w:spacing w:line="360" w:lineRule="auto"/>
        <w:rPr>
          <w:rFonts w:ascii="Times New Roman" w:hAnsi="Times New Roman" w:cs="Times New Roman"/>
          <w:szCs w:val="24"/>
        </w:rPr>
      </w:pPr>
    </w:p>
    <w:p w14:paraId="55E2DE1B"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Alles, M. G., Brennan, G., Kogan, A., &amp;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M. A. (2018). Continuous auditing and analytics: Implications for fraud detection. </w:t>
      </w:r>
      <w:r w:rsidRPr="00742F7E">
        <w:rPr>
          <w:rFonts w:ascii="Times New Roman" w:hAnsi="Times New Roman" w:cs="Times New Roman"/>
          <w:i/>
          <w:iCs/>
          <w:szCs w:val="24"/>
        </w:rPr>
        <w:t>Journal of Emerging Technologies in Accounting</w:t>
      </w:r>
      <w:r w:rsidRPr="00742F7E">
        <w:rPr>
          <w:rFonts w:ascii="Times New Roman" w:hAnsi="Times New Roman" w:cs="Times New Roman"/>
          <w:szCs w:val="24"/>
        </w:rPr>
        <w:t>, 15(1), 1–16. https://doi.org/10.2308/jeta-10531</w:t>
      </w:r>
    </w:p>
    <w:p w14:paraId="7B6F9CA8"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Ball, R. (2006). International financial reporting standards (IFRS): Pros and cons for investors. </w:t>
      </w:r>
      <w:r w:rsidRPr="00742F7E">
        <w:rPr>
          <w:rFonts w:ascii="Times New Roman" w:hAnsi="Times New Roman" w:cs="Times New Roman"/>
          <w:i/>
          <w:iCs/>
          <w:szCs w:val="24"/>
        </w:rPr>
        <w:t>Accounting and Business Research</w:t>
      </w:r>
      <w:r w:rsidRPr="00742F7E">
        <w:rPr>
          <w:rFonts w:ascii="Times New Roman" w:hAnsi="Times New Roman" w:cs="Times New Roman"/>
          <w:szCs w:val="24"/>
        </w:rPr>
        <w:t xml:space="preserve">, 36(sup1), 5–27. </w:t>
      </w:r>
      <w:hyperlink r:id="rId8" w:tgtFrame="_new" w:history="1">
        <w:r w:rsidRPr="00742F7E">
          <w:rPr>
            <w:rStyle w:val="Hyperlink"/>
            <w:rFonts w:ascii="Times New Roman" w:hAnsi="Times New Roman" w:cs="Times New Roman"/>
            <w:szCs w:val="24"/>
          </w:rPr>
          <w:t>https://doi.org/10.1080/00014788.2006.9730040</w:t>
        </w:r>
      </w:hyperlink>
    </w:p>
    <w:p w14:paraId="03D9CAA0"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Bushman, R. M., &amp; Smith, A. J. (2001). Financial accounting information and corporate governance. </w:t>
      </w:r>
      <w:r w:rsidRPr="00742F7E">
        <w:rPr>
          <w:rFonts w:ascii="Times New Roman" w:hAnsi="Times New Roman" w:cs="Times New Roman"/>
          <w:i/>
          <w:iCs/>
          <w:szCs w:val="24"/>
        </w:rPr>
        <w:t>Journal of Accounting and Economics</w:t>
      </w:r>
      <w:r w:rsidRPr="00742F7E">
        <w:rPr>
          <w:rFonts w:ascii="Times New Roman" w:hAnsi="Times New Roman" w:cs="Times New Roman"/>
          <w:szCs w:val="24"/>
        </w:rPr>
        <w:t>, 32(1–3), 237–333. https://doi.org/10.1016/S0165-4101(01)00027-1</w:t>
      </w:r>
    </w:p>
    <w:p w14:paraId="553F1DB0"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Coyne, J. G., &amp; McMickle, P. L. (2017). Can blockchains serve an accounting purpose? </w:t>
      </w:r>
      <w:r w:rsidRPr="00742F7E">
        <w:rPr>
          <w:rFonts w:ascii="Times New Roman" w:hAnsi="Times New Roman" w:cs="Times New Roman"/>
          <w:i/>
          <w:iCs/>
          <w:szCs w:val="24"/>
        </w:rPr>
        <w:t>Journal of Emerging Technologies in Accounting</w:t>
      </w:r>
      <w:r w:rsidRPr="00742F7E">
        <w:rPr>
          <w:rFonts w:ascii="Times New Roman" w:hAnsi="Times New Roman" w:cs="Times New Roman"/>
          <w:szCs w:val="24"/>
        </w:rPr>
        <w:t xml:space="preserve">, 14(2), 101–111. </w:t>
      </w:r>
      <w:hyperlink r:id="rId9" w:tgtFrame="_new" w:history="1">
        <w:r w:rsidRPr="00742F7E">
          <w:rPr>
            <w:rStyle w:val="Hyperlink"/>
            <w:rFonts w:ascii="Times New Roman" w:hAnsi="Times New Roman" w:cs="Times New Roman"/>
            <w:szCs w:val="24"/>
          </w:rPr>
          <w:t>https://doi.org/10.2308/jeta-51910</w:t>
        </w:r>
      </w:hyperlink>
    </w:p>
    <w:p w14:paraId="7162C04D"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Dai, J., &amp;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M. A. (2017). Toward blockchain-based accounting and assurance. </w:t>
      </w:r>
      <w:r w:rsidRPr="00742F7E">
        <w:rPr>
          <w:rFonts w:ascii="Times New Roman" w:hAnsi="Times New Roman" w:cs="Times New Roman"/>
          <w:i/>
          <w:iCs/>
          <w:szCs w:val="24"/>
        </w:rPr>
        <w:t>Journal of Information Systems</w:t>
      </w:r>
      <w:r w:rsidRPr="00742F7E">
        <w:rPr>
          <w:rFonts w:ascii="Times New Roman" w:hAnsi="Times New Roman" w:cs="Times New Roman"/>
          <w:szCs w:val="24"/>
        </w:rPr>
        <w:t xml:space="preserve">, 31(3), 5–21. </w:t>
      </w:r>
      <w:hyperlink r:id="rId10" w:tgtFrame="_new" w:history="1">
        <w:r w:rsidRPr="00742F7E">
          <w:rPr>
            <w:rStyle w:val="Hyperlink"/>
            <w:rFonts w:ascii="Times New Roman" w:hAnsi="Times New Roman" w:cs="Times New Roman"/>
            <w:szCs w:val="24"/>
          </w:rPr>
          <w:t>https://doi.org/10.2308/isys-51804</w:t>
        </w:r>
      </w:hyperlink>
    </w:p>
    <w:p w14:paraId="7478423B"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Healy, P. M., &amp; Palepu, K. G. (2001). Information asymmetry, corporate disclosure, and the capital markets. </w:t>
      </w:r>
      <w:r w:rsidRPr="00742F7E">
        <w:rPr>
          <w:rFonts w:ascii="Times New Roman" w:hAnsi="Times New Roman" w:cs="Times New Roman"/>
          <w:i/>
          <w:iCs/>
          <w:szCs w:val="24"/>
        </w:rPr>
        <w:t>Journal of Accounting and Economics</w:t>
      </w:r>
      <w:r w:rsidRPr="00742F7E">
        <w:rPr>
          <w:rFonts w:ascii="Times New Roman" w:hAnsi="Times New Roman" w:cs="Times New Roman"/>
          <w:szCs w:val="24"/>
        </w:rPr>
        <w:t>, 31(1–3), 405–440. https://doi.org/10.1016/S0165-4101(01)00018-0</w:t>
      </w:r>
    </w:p>
    <w:p w14:paraId="4491BFCE"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Healy, P. M., &amp; Palepu, K. G. (2003). The fall of Enron. </w:t>
      </w:r>
      <w:r w:rsidRPr="00742F7E">
        <w:rPr>
          <w:rFonts w:ascii="Times New Roman" w:hAnsi="Times New Roman" w:cs="Times New Roman"/>
          <w:i/>
          <w:iCs/>
          <w:szCs w:val="24"/>
        </w:rPr>
        <w:t>Journal of Economic Perspectives</w:t>
      </w:r>
      <w:r w:rsidRPr="00742F7E">
        <w:rPr>
          <w:rFonts w:ascii="Times New Roman" w:hAnsi="Times New Roman" w:cs="Times New Roman"/>
          <w:szCs w:val="24"/>
        </w:rPr>
        <w:t>, 17(2), 3–26. https://doi.org/10.1257/089533003765888403</w:t>
      </w:r>
    </w:p>
    <w:p w14:paraId="26780ABE"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Issa, H., Sun, T., &amp;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M. A. (2016). Research ideas for artificial intelligence in auditing. </w:t>
      </w:r>
      <w:r w:rsidRPr="00742F7E">
        <w:rPr>
          <w:rFonts w:ascii="Times New Roman" w:hAnsi="Times New Roman" w:cs="Times New Roman"/>
          <w:i/>
          <w:iCs/>
          <w:szCs w:val="24"/>
        </w:rPr>
        <w:t>Journal of Emerging Technologies in Accounting</w:t>
      </w:r>
      <w:r w:rsidRPr="00742F7E">
        <w:rPr>
          <w:rFonts w:ascii="Times New Roman" w:hAnsi="Times New Roman" w:cs="Times New Roman"/>
          <w:szCs w:val="24"/>
        </w:rPr>
        <w:t xml:space="preserve">, 13(2), 1–20. </w:t>
      </w:r>
      <w:hyperlink r:id="rId11" w:tgtFrame="_new" w:history="1">
        <w:r w:rsidRPr="00742F7E">
          <w:rPr>
            <w:rStyle w:val="Hyperlink"/>
            <w:rFonts w:ascii="Times New Roman" w:hAnsi="Times New Roman" w:cs="Times New Roman"/>
            <w:szCs w:val="24"/>
          </w:rPr>
          <w:t>https://doi.org/10.2308/jeta-10511</w:t>
        </w:r>
      </w:hyperlink>
    </w:p>
    <w:p w14:paraId="6640EABF"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Jensen, M. C., &amp; Meckling, W. H. (1976). Theory of the firm: Managerial </w:t>
      </w:r>
      <w:proofErr w:type="spellStart"/>
      <w:r w:rsidRPr="00742F7E">
        <w:rPr>
          <w:rFonts w:ascii="Times New Roman" w:hAnsi="Times New Roman" w:cs="Times New Roman"/>
          <w:szCs w:val="24"/>
        </w:rPr>
        <w:t>behavior</w:t>
      </w:r>
      <w:proofErr w:type="spellEnd"/>
      <w:r w:rsidRPr="00742F7E">
        <w:rPr>
          <w:rFonts w:ascii="Times New Roman" w:hAnsi="Times New Roman" w:cs="Times New Roman"/>
          <w:szCs w:val="24"/>
        </w:rPr>
        <w:t xml:space="preserve">, agency costs and ownership structure. </w:t>
      </w:r>
      <w:r w:rsidRPr="00742F7E">
        <w:rPr>
          <w:rFonts w:ascii="Times New Roman" w:hAnsi="Times New Roman" w:cs="Times New Roman"/>
          <w:i/>
          <w:iCs/>
          <w:szCs w:val="24"/>
        </w:rPr>
        <w:t>Journal of Financial Economics</w:t>
      </w:r>
      <w:r w:rsidRPr="00742F7E">
        <w:rPr>
          <w:rFonts w:ascii="Times New Roman" w:hAnsi="Times New Roman" w:cs="Times New Roman"/>
          <w:szCs w:val="24"/>
        </w:rPr>
        <w:t>, 3(4), 305–360. https://doi.org/10.1016/0304-405X(76)90026-X</w:t>
      </w:r>
    </w:p>
    <w:p w14:paraId="637A856A" w14:textId="77777777" w:rsidR="00742F7E" w:rsidRPr="00742F7E" w:rsidRDefault="00742F7E" w:rsidP="00742F7E">
      <w:pPr>
        <w:spacing w:line="360" w:lineRule="auto"/>
        <w:rPr>
          <w:rFonts w:ascii="Times New Roman" w:hAnsi="Times New Roman" w:cs="Times New Roman"/>
          <w:szCs w:val="24"/>
        </w:rPr>
      </w:pPr>
      <w:proofErr w:type="spellStart"/>
      <w:r w:rsidRPr="00742F7E">
        <w:rPr>
          <w:rFonts w:ascii="Times New Roman" w:hAnsi="Times New Roman" w:cs="Times New Roman"/>
          <w:szCs w:val="24"/>
        </w:rPr>
        <w:lastRenderedPageBreak/>
        <w:t>Kieso</w:t>
      </w:r>
      <w:proofErr w:type="spellEnd"/>
      <w:r w:rsidRPr="00742F7E">
        <w:rPr>
          <w:rFonts w:ascii="Times New Roman" w:hAnsi="Times New Roman" w:cs="Times New Roman"/>
          <w:szCs w:val="24"/>
        </w:rPr>
        <w:t xml:space="preserve">, D. E., Weygandt, J. J., &amp; Warfield, T. D. (2020). </w:t>
      </w:r>
      <w:r w:rsidRPr="00742F7E">
        <w:rPr>
          <w:rFonts w:ascii="Times New Roman" w:hAnsi="Times New Roman" w:cs="Times New Roman"/>
          <w:i/>
          <w:iCs/>
          <w:szCs w:val="24"/>
        </w:rPr>
        <w:t>Intermediate accounting</w:t>
      </w:r>
      <w:r w:rsidRPr="00742F7E">
        <w:rPr>
          <w:rFonts w:ascii="Times New Roman" w:hAnsi="Times New Roman" w:cs="Times New Roman"/>
          <w:szCs w:val="24"/>
        </w:rPr>
        <w:t xml:space="preserve"> (17th ed.). Wiley.</w:t>
      </w:r>
    </w:p>
    <w:p w14:paraId="6E5D2027" w14:textId="77777777" w:rsidR="00742F7E" w:rsidRPr="00742F7E" w:rsidRDefault="00742F7E" w:rsidP="00742F7E">
      <w:pPr>
        <w:spacing w:line="360" w:lineRule="auto"/>
        <w:rPr>
          <w:rFonts w:ascii="Times New Roman" w:hAnsi="Times New Roman" w:cs="Times New Roman"/>
          <w:szCs w:val="24"/>
        </w:rPr>
      </w:pPr>
      <w:proofErr w:type="spellStart"/>
      <w:r w:rsidRPr="00742F7E">
        <w:rPr>
          <w:rFonts w:ascii="Times New Roman" w:hAnsi="Times New Roman" w:cs="Times New Roman"/>
          <w:szCs w:val="24"/>
        </w:rPr>
        <w:t>Leuz</w:t>
      </w:r>
      <w:proofErr w:type="spellEnd"/>
      <w:r w:rsidRPr="00742F7E">
        <w:rPr>
          <w:rFonts w:ascii="Times New Roman" w:hAnsi="Times New Roman" w:cs="Times New Roman"/>
          <w:szCs w:val="24"/>
        </w:rPr>
        <w:t xml:space="preserve">, C., Nanda, D., &amp; Wysocki, P. D. (2003). Earnings management and investor protection. </w:t>
      </w:r>
      <w:r w:rsidRPr="00742F7E">
        <w:rPr>
          <w:rFonts w:ascii="Times New Roman" w:hAnsi="Times New Roman" w:cs="Times New Roman"/>
          <w:i/>
          <w:iCs/>
          <w:szCs w:val="24"/>
        </w:rPr>
        <w:t>Journal of Financial Economics</w:t>
      </w:r>
      <w:r w:rsidRPr="00742F7E">
        <w:rPr>
          <w:rFonts w:ascii="Times New Roman" w:hAnsi="Times New Roman" w:cs="Times New Roman"/>
          <w:szCs w:val="24"/>
        </w:rPr>
        <w:t>, 69(3), 505–527. https://doi.org/10.1016/S0304-405X(03)00121-1</w:t>
      </w:r>
    </w:p>
    <w:p w14:paraId="05A7608C"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Penman, S. H. (2007). Financial reporting quality: Is fair value a plus or a minus? </w:t>
      </w:r>
      <w:r w:rsidRPr="00742F7E">
        <w:rPr>
          <w:rFonts w:ascii="Times New Roman" w:hAnsi="Times New Roman" w:cs="Times New Roman"/>
          <w:i/>
          <w:iCs/>
          <w:szCs w:val="24"/>
        </w:rPr>
        <w:t>Accounting and Business Research</w:t>
      </w:r>
      <w:r w:rsidRPr="00742F7E">
        <w:rPr>
          <w:rFonts w:ascii="Times New Roman" w:hAnsi="Times New Roman" w:cs="Times New Roman"/>
          <w:szCs w:val="24"/>
        </w:rPr>
        <w:t>, 37(sup1), 33–44. https://doi.org/10.1080/00014788.2007.9730083</w:t>
      </w:r>
    </w:p>
    <w:p w14:paraId="012F8F63"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Rezaee, Z. (2005). Causes, consequences, and deterrence of financial statement fraud. </w:t>
      </w:r>
      <w:r w:rsidRPr="00742F7E">
        <w:rPr>
          <w:rFonts w:ascii="Times New Roman" w:hAnsi="Times New Roman" w:cs="Times New Roman"/>
          <w:i/>
          <w:iCs/>
          <w:szCs w:val="24"/>
        </w:rPr>
        <w:t>Critical Perspectives on Accounting</w:t>
      </w:r>
      <w:r w:rsidRPr="00742F7E">
        <w:rPr>
          <w:rFonts w:ascii="Times New Roman" w:hAnsi="Times New Roman" w:cs="Times New Roman"/>
          <w:szCs w:val="24"/>
        </w:rPr>
        <w:t>, 16(3), 277–298. https://doi.org/10.1016/S1045-2354(03)00072-8</w:t>
      </w:r>
    </w:p>
    <w:p w14:paraId="189C891B"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Ryan, S. G. (2008). Accounting in and for the subprime crisis. </w:t>
      </w:r>
      <w:r w:rsidRPr="00742F7E">
        <w:rPr>
          <w:rFonts w:ascii="Times New Roman" w:hAnsi="Times New Roman" w:cs="Times New Roman"/>
          <w:i/>
          <w:iCs/>
          <w:szCs w:val="24"/>
        </w:rPr>
        <w:t>The Accounting Review</w:t>
      </w:r>
      <w:r w:rsidRPr="00742F7E">
        <w:rPr>
          <w:rFonts w:ascii="Times New Roman" w:hAnsi="Times New Roman" w:cs="Times New Roman"/>
          <w:szCs w:val="24"/>
        </w:rPr>
        <w:t>, 83(6), 1605–1638. https://doi.org/10.2308/accr.2008.83.6.1605</w:t>
      </w:r>
    </w:p>
    <w:p w14:paraId="484496DE"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Schmitz, J., &amp; Leoni, G. (2019). Accounting and auditing at the time of blockchain technology: A research agenda. </w:t>
      </w:r>
      <w:r w:rsidRPr="00742F7E">
        <w:rPr>
          <w:rFonts w:ascii="Times New Roman" w:hAnsi="Times New Roman" w:cs="Times New Roman"/>
          <w:i/>
          <w:iCs/>
          <w:szCs w:val="24"/>
        </w:rPr>
        <w:t>Australian Accounting Review</w:t>
      </w:r>
      <w:r w:rsidRPr="00742F7E">
        <w:rPr>
          <w:rFonts w:ascii="Times New Roman" w:hAnsi="Times New Roman" w:cs="Times New Roman"/>
          <w:szCs w:val="24"/>
        </w:rPr>
        <w:t>, 29(2), 331–342. https://doi.org/10.1111/auar.12286</w:t>
      </w:r>
    </w:p>
    <w:p w14:paraId="0A5CA1A0" w14:textId="77777777" w:rsidR="00742F7E" w:rsidRPr="00742F7E" w:rsidRDefault="00742F7E" w:rsidP="00742F7E">
      <w:pPr>
        <w:spacing w:line="360" w:lineRule="auto"/>
        <w:rPr>
          <w:rFonts w:ascii="Times New Roman" w:hAnsi="Times New Roman" w:cs="Times New Roman"/>
          <w:szCs w:val="24"/>
        </w:rPr>
      </w:pP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M. A., Kogan, A., &amp; Tuttle, B. M. (2015). Big data in accounting. </w:t>
      </w:r>
      <w:r w:rsidRPr="00742F7E">
        <w:rPr>
          <w:rFonts w:ascii="Times New Roman" w:hAnsi="Times New Roman" w:cs="Times New Roman"/>
          <w:i/>
          <w:iCs/>
          <w:szCs w:val="24"/>
        </w:rPr>
        <w:t>Accounting Horizons</w:t>
      </w:r>
      <w:r w:rsidRPr="00742F7E">
        <w:rPr>
          <w:rFonts w:ascii="Times New Roman" w:hAnsi="Times New Roman" w:cs="Times New Roman"/>
          <w:szCs w:val="24"/>
        </w:rPr>
        <w:t xml:space="preserve">, 29(2), 381–396. </w:t>
      </w:r>
      <w:hyperlink r:id="rId12" w:tgtFrame="_new" w:history="1">
        <w:r w:rsidRPr="00742F7E">
          <w:rPr>
            <w:rStyle w:val="Hyperlink"/>
            <w:rFonts w:ascii="Times New Roman" w:hAnsi="Times New Roman" w:cs="Times New Roman"/>
            <w:szCs w:val="24"/>
          </w:rPr>
          <w:t>https://doi.org/10.2308/acch-51071</w:t>
        </w:r>
      </w:hyperlink>
    </w:p>
    <w:p w14:paraId="1EB12030"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Yamey, B. S. (1949). Scientific bookkeeping and the rise of capitalism. </w:t>
      </w:r>
      <w:r w:rsidRPr="00742F7E">
        <w:rPr>
          <w:rFonts w:ascii="Times New Roman" w:hAnsi="Times New Roman" w:cs="Times New Roman"/>
          <w:i/>
          <w:iCs/>
          <w:szCs w:val="24"/>
        </w:rPr>
        <w:t>The Economic History Review</w:t>
      </w:r>
      <w:r w:rsidRPr="00742F7E">
        <w:rPr>
          <w:rFonts w:ascii="Times New Roman" w:hAnsi="Times New Roman" w:cs="Times New Roman"/>
          <w:szCs w:val="24"/>
        </w:rPr>
        <w:t>, 1(2/3), 99–113. https://doi.org/10.2307/2590488</w:t>
      </w:r>
    </w:p>
    <w:p w14:paraId="0C2C9999"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Zhang, Y., &amp; Andrew, J. (2020). Blockchain and accounting: An emerging research agenda. </w:t>
      </w:r>
      <w:r w:rsidRPr="00742F7E">
        <w:rPr>
          <w:rFonts w:ascii="Times New Roman" w:hAnsi="Times New Roman" w:cs="Times New Roman"/>
          <w:i/>
          <w:iCs/>
          <w:szCs w:val="24"/>
        </w:rPr>
        <w:t>Accounting, Auditing &amp; Accountability Journal</w:t>
      </w:r>
      <w:r w:rsidRPr="00742F7E">
        <w:rPr>
          <w:rFonts w:ascii="Times New Roman" w:hAnsi="Times New Roman" w:cs="Times New Roman"/>
          <w:szCs w:val="24"/>
        </w:rPr>
        <w:t>, 33(8), 1849–1870. https://doi.org/10.1108/AAAJ-12-2018-3791</w:t>
      </w:r>
    </w:p>
    <w:p w14:paraId="260D32FD" w14:textId="77777777" w:rsidR="00742F7E" w:rsidRPr="00742F7E" w:rsidRDefault="00742F7E" w:rsidP="00742F7E">
      <w:pPr>
        <w:spacing w:line="360" w:lineRule="auto"/>
        <w:rPr>
          <w:rFonts w:ascii="Times New Roman" w:hAnsi="Times New Roman" w:cs="Times New Roman"/>
          <w:szCs w:val="24"/>
        </w:rPr>
      </w:pPr>
      <w:r w:rsidRPr="00742F7E">
        <w:rPr>
          <w:rFonts w:ascii="Times New Roman" w:hAnsi="Times New Roman" w:cs="Times New Roman"/>
          <w:szCs w:val="24"/>
        </w:rPr>
        <w:t xml:space="preserve">Appelbaum, D., Kogan, A., &amp; </w:t>
      </w:r>
      <w:proofErr w:type="spellStart"/>
      <w:r w:rsidRPr="00742F7E">
        <w:rPr>
          <w:rFonts w:ascii="Times New Roman" w:hAnsi="Times New Roman" w:cs="Times New Roman"/>
          <w:szCs w:val="24"/>
        </w:rPr>
        <w:t>Vasarhelyi</w:t>
      </w:r>
      <w:proofErr w:type="spellEnd"/>
      <w:r w:rsidRPr="00742F7E">
        <w:rPr>
          <w:rFonts w:ascii="Times New Roman" w:hAnsi="Times New Roman" w:cs="Times New Roman"/>
          <w:szCs w:val="24"/>
        </w:rPr>
        <w:t xml:space="preserve">, M. (2017). Big data and analytics in the modern audit engagement. </w:t>
      </w:r>
      <w:r w:rsidRPr="00742F7E">
        <w:rPr>
          <w:rFonts w:ascii="Times New Roman" w:hAnsi="Times New Roman" w:cs="Times New Roman"/>
          <w:i/>
          <w:iCs/>
          <w:szCs w:val="24"/>
        </w:rPr>
        <w:t>Accounting Horizons</w:t>
      </w:r>
      <w:r w:rsidRPr="00742F7E">
        <w:rPr>
          <w:rFonts w:ascii="Times New Roman" w:hAnsi="Times New Roman" w:cs="Times New Roman"/>
          <w:szCs w:val="24"/>
        </w:rPr>
        <w:t>, 31(4), 1–19. https://doi.org/10.2308/acch-51756</w:t>
      </w:r>
    </w:p>
    <w:p w14:paraId="7A323A10" w14:textId="77777777" w:rsidR="00742F7E" w:rsidRPr="00742F7E" w:rsidRDefault="00742F7E" w:rsidP="00742F7E">
      <w:pPr>
        <w:spacing w:line="360" w:lineRule="auto"/>
        <w:rPr>
          <w:rFonts w:ascii="Times New Roman" w:hAnsi="Times New Roman" w:cs="Times New Roman"/>
          <w:szCs w:val="24"/>
        </w:rPr>
      </w:pPr>
    </w:p>
    <w:sectPr w:rsidR="00742F7E" w:rsidRPr="00742F7E" w:rsidSect="00B264D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FF7"/>
    <w:rsid w:val="00322E52"/>
    <w:rsid w:val="005225BF"/>
    <w:rsid w:val="006B6E2B"/>
    <w:rsid w:val="00742F7E"/>
    <w:rsid w:val="007D35A9"/>
    <w:rsid w:val="008279E6"/>
    <w:rsid w:val="00884A6B"/>
    <w:rsid w:val="008A4EF3"/>
    <w:rsid w:val="009D452D"/>
    <w:rsid w:val="00AC2216"/>
    <w:rsid w:val="00B264DA"/>
    <w:rsid w:val="00B8158C"/>
    <w:rsid w:val="00C76C6F"/>
    <w:rsid w:val="00CC67E8"/>
    <w:rsid w:val="00CD6F2C"/>
    <w:rsid w:val="00DC2FF7"/>
    <w:rsid w:val="00E4472F"/>
    <w:rsid w:val="00ED6CD2"/>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94448"/>
  <w15:chartTrackingRefBased/>
  <w15:docId w15:val="{173E8026-95EC-4C82-9507-100E1AF7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FF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DC2FF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DC2FF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DC2F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2F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2F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2F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2F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2F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FF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DC2FF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DC2FF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DC2F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2F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2F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2F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2F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2FF7"/>
    <w:rPr>
      <w:rFonts w:eastAsiaTheme="majorEastAsia" w:cstheme="majorBidi"/>
      <w:color w:val="272727" w:themeColor="text1" w:themeTint="D8"/>
    </w:rPr>
  </w:style>
  <w:style w:type="paragraph" w:styleId="Title">
    <w:name w:val="Title"/>
    <w:basedOn w:val="Normal"/>
    <w:next w:val="Normal"/>
    <w:link w:val="TitleChar"/>
    <w:uiPriority w:val="10"/>
    <w:qFormat/>
    <w:rsid w:val="00DC2FF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DC2FF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DC2FF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DC2FF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DC2FF7"/>
    <w:pPr>
      <w:spacing w:before="160"/>
      <w:jc w:val="center"/>
    </w:pPr>
    <w:rPr>
      <w:i/>
      <w:iCs/>
      <w:color w:val="404040" w:themeColor="text1" w:themeTint="BF"/>
    </w:rPr>
  </w:style>
  <w:style w:type="character" w:customStyle="1" w:styleId="QuoteChar">
    <w:name w:val="Quote Char"/>
    <w:basedOn w:val="DefaultParagraphFont"/>
    <w:link w:val="Quote"/>
    <w:uiPriority w:val="29"/>
    <w:rsid w:val="00DC2FF7"/>
    <w:rPr>
      <w:i/>
      <w:iCs/>
      <w:color w:val="404040" w:themeColor="text1" w:themeTint="BF"/>
    </w:rPr>
  </w:style>
  <w:style w:type="paragraph" w:styleId="ListParagraph">
    <w:name w:val="List Paragraph"/>
    <w:basedOn w:val="Normal"/>
    <w:uiPriority w:val="34"/>
    <w:qFormat/>
    <w:rsid w:val="00DC2FF7"/>
    <w:pPr>
      <w:ind w:left="720"/>
      <w:contextualSpacing/>
    </w:pPr>
  </w:style>
  <w:style w:type="character" w:styleId="IntenseEmphasis">
    <w:name w:val="Intense Emphasis"/>
    <w:basedOn w:val="DefaultParagraphFont"/>
    <w:uiPriority w:val="21"/>
    <w:qFormat/>
    <w:rsid w:val="00DC2FF7"/>
    <w:rPr>
      <w:i/>
      <w:iCs/>
      <w:color w:val="0F4761" w:themeColor="accent1" w:themeShade="BF"/>
    </w:rPr>
  </w:style>
  <w:style w:type="paragraph" w:styleId="IntenseQuote">
    <w:name w:val="Intense Quote"/>
    <w:basedOn w:val="Normal"/>
    <w:next w:val="Normal"/>
    <w:link w:val="IntenseQuoteChar"/>
    <w:uiPriority w:val="30"/>
    <w:qFormat/>
    <w:rsid w:val="00DC2F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2FF7"/>
    <w:rPr>
      <w:i/>
      <w:iCs/>
      <w:color w:val="0F4761" w:themeColor="accent1" w:themeShade="BF"/>
    </w:rPr>
  </w:style>
  <w:style w:type="character" w:styleId="IntenseReference">
    <w:name w:val="Intense Reference"/>
    <w:basedOn w:val="DefaultParagraphFont"/>
    <w:uiPriority w:val="32"/>
    <w:qFormat/>
    <w:rsid w:val="00DC2FF7"/>
    <w:rPr>
      <w:b/>
      <w:bCs/>
      <w:smallCaps/>
      <w:color w:val="0F4761" w:themeColor="accent1" w:themeShade="BF"/>
      <w:spacing w:val="5"/>
    </w:rPr>
  </w:style>
  <w:style w:type="character" w:styleId="Hyperlink">
    <w:name w:val="Hyperlink"/>
    <w:basedOn w:val="DefaultParagraphFont"/>
    <w:uiPriority w:val="99"/>
    <w:unhideWhenUsed/>
    <w:rsid w:val="00C76C6F"/>
    <w:rPr>
      <w:color w:val="467886" w:themeColor="hyperlink"/>
      <w:u w:val="single"/>
    </w:rPr>
  </w:style>
  <w:style w:type="character" w:styleId="UnresolvedMention">
    <w:name w:val="Unresolved Mention"/>
    <w:basedOn w:val="DefaultParagraphFont"/>
    <w:uiPriority w:val="99"/>
    <w:semiHidden/>
    <w:unhideWhenUsed/>
    <w:rsid w:val="00C76C6F"/>
    <w:rPr>
      <w:color w:val="605E5C"/>
      <w:shd w:val="clear" w:color="auto" w:fill="E1DFDD"/>
    </w:rPr>
  </w:style>
  <w:style w:type="paragraph" w:styleId="TOCHeading">
    <w:name w:val="TOC Heading"/>
    <w:basedOn w:val="Heading1"/>
    <w:next w:val="Normal"/>
    <w:uiPriority w:val="39"/>
    <w:unhideWhenUsed/>
    <w:qFormat/>
    <w:rsid w:val="00CC67E8"/>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CC67E8"/>
    <w:pPr>
      <w:spacing w:after="100"/>
      <w:ind w:left="240"/>
    </w:pPr>
  </w:style>
  <w:style w:type="paragraph" w:styleId="NoSpacing">
    <w:name w:val="No Spacing"/>
    <w:link w:val="NoSpacingChar"/>
    <w:uiPriority w:val="1"/>
    <w:qFormat/>
    <w:rsid w:val="00884A6B"/>
    <w:pPr>
      <w:spacing w:after="0" w:line="240" w:lineRule="auto"/>
    </w:pPr>
    <w:rPr>
      <w:rFonts w:eastAsiaTheme="minorEastAsia"/>
      <w:kern w:val="0"/>
      <w:sz w:val="22"/>
      <w:szCs w:val="22"/>
      <w:lang w:val="en-US" w:bidi="ar-SA"/>
      <w14:ligatures w14:val="none"/>
    </w:rPr>
  </w:style>
  <w:style w:type="character" w:customStyle="1" w:styleId="NoSpacingChar">
    <w:name w:val="No Spacing Char"/>
    <w:basedOn w:val="DefaultParagraphFont"/>
    <w:link w:val="NoSpacing"/>
    <w:uiPriority w:val="1"/>
    <w:rsid w:val="00884A6B"/>
    <w:rPr>
      <w:rFonts w:eastAsiaTheme="minorEastAsia"/>
      <w:kern w:val="0"/>
      <w:sz w:val="22"/>
      <w:szCs w:val="22"/>
      <w:lang w:val="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014788.2006.973004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2308/acch-5107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2308/jeta-10511" TargetMode="External"/><Relationship Id="rId5" Type="http://schemas.openxmlformats.org/officeDocument/2006/relationships/webSettings" Target="webSettings.xml"/><Relationship Id="rId10" Type="http://schemas.openxmlformats.org/officeDocument/2006/relationships/hyperlink" Target="https://doi.org/10.2308/isys-51804" TargetMode="External"/><Relationship Id="rId4" Type="http://schemas.openxmlformats.org/officeDocument/2006/relationships/settings" Target="settings.xml"/><Relationship Id="rId9" Type="http://schemas.openxmlformats.org/officeDocument/2006/relationships/hyperlink" Target="https://doi.org/10.2308/jeta-5191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E7D9D9-2863-4F58-A53F-3D56F092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5013</Words>
  <Characters>28575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3</cp:revision>
  <dcterms:created xsi:type="dcterms:W3CDTF">2026-03-20T07:40:00Z</dcterms:created>
  <dcterms:modified xsi:type="dcterms:W3CDTF">2026-03-20T07:49:00Z</dcterms:modified>
</cp:coreProperties>
</file>