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69EED9"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0C6AC241" wp14:editId="76AAFB92">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7FCDEB6" w14:textId="77777777" w:rsidR="00661030" w:rsidRPr="0019504D" w:rsidRDefault="00661030" w:rsidP="00661030">
      <w:pPr>
        <w:rPr>
          <w:b/>
          <w:bCs/>
          <w:lang w:val="en-US"/>
        </w:rPr>
      </w:pPr>
      <w:r>
        <w:rPr>
          <w:b/>
          <w:bCs/>
          <w:lang w:val="en-US"/>
        </w:rPr>
        <w:t>Tourism</w:t>
      </w:r>
      <w:r w:rsidR="00C21EBA">
        <w:rPr>
          <w:b/>
          <w:bCs/>
          <w:lang w:val="en-US"/>
        </w:rPr>
        <w:t xml:space="preserve"> </w:t>
      </w:r>
      <w:r w:rsidR="00481859">
        <w:rPr>
          <w:b/>
          <w:bCs/>
          <w:lang w:val="en-US"/>
        </w:rPr>
        <w:t>Law and Legislation</w:t>
      </w:r>
    </w:p>
    <w:p w14:paraId="7AF8CAD3" w14:textId="77777777" w:rsidR="0019504D" w:rsidRDefault="0019504D" w:rsidP="0019504D">
      <w:pPr>
        <w:rPr>
          <w:lang w:val="en-US"/>
        </w:rPr>
      </w:pPr>
      <w:r w:rsidRPr="0019504D">
        <w:rPr>
          <w:lang w:val="en-US"/>
        </w:rPr>
        <w:t>Ass</w:t>
      </w:r>
      <w:r>
        <w:rPr>
          <w:lang w:val="en-US"/>
        </w:rPr>
        <w:t xml:space="preserve">ignment </w:t>
      </w:r>
      <w:r w:rsidR="00716E23">
        <w:rPr>
          <w:lang w:val="en-US"/>
        </w:rPr>
        <w:t>2</w:t>
      </w:r>
    </w:p>
    <w:p w14:paraId="3589F145" w14:textId="77777777" w:rsidR="0019504D" w:rsidRPr="0019504D" w:rsidRDefault="00716E23" w:rsidP="0019504D">
      <w:pPr>
        <w:rPr>
          <w:lang w:val="en-US"/>
        </w:rPr>
      </w:pPr>
      <w:r>
        <w:rPr>
          <w:lang w:val="en-US"/>
        </w:rPr>
        <w:t>14</w:t>
      </w:r>
      <w:r w:rsidR="0019504D">
        <w:rPr>
          <w:lang w:val="en-US"/>
        </w:rPr>
        <w:t>.0</w:t>
      </w:r>
      <w:r w:rsidR="00481859">
        <w:rPr>
          <w:lang w:val="en-US"/>
        </w:rPr>
        <w:t>1</w:t>
      </w:r>
      <w:r w:rsidR="0019504D">
        <w:rPr>
          <w:lang w:val="en-US"/>
        </w:rPr>
        <w:t>.2025</w:t>
      </w:r>
    </w:p>
    <w:p w14:paraId="07F9BE35" w14:textId="77777777" w:rsidR="0019504D" w:rsidRDefault="0019504D"/>
    <w:p w14:paraId="6B509797" w14:textId="339B0B67" w:rsidR="0019504D" w:rsidRDefault="00FB3399">
      <w:r>
        <w:rPr>
          <w:lang w:val="en-US"/>
        </w:rPr>
        <w:t xml:space="preserve">Dipanshu </w:t>
      </w:r>
    </w:p>
    <w:p w14:paraId="0DD471F2" w14:textId="77777777" w:rsidR="0019504D" w:rsidRDefault="0019504D"/>
    <w:p w14:paraId="2A240E95" w14:textId="77777777" w:rsidR="0019504D" w:rsidRDefault="0019504D"/>
    <w:p w14:paraId="44503069" w14:textId="77777777" w:rsidR="00CD620A" w:rsidRDefault="00CD620A"/>
    <w:p w14:paraId="535E1485" w14:textId="77777777" w:rsidR="00CD620A" w:rsidRDefault="00CD620A"/>
    <w:p w14:paraId="5B460D21" w14:textId="77777777" w:rsidR="00CD620A" w:rsidRDefault="00CD620A"/>
    <w:p w14:paraId="29728A86" w14:textId="77777777" w:rsidR="00CD620A" w:rsidRDefault="00CD620A"/>
    <w:p w14:paraId="2A3900DC" w14:textId="77777777" w:rsidR="00CD620A" w:rsidRDefault="00CD620A"/>
    <w:p w14:paraId="67E2CB04" w14:textId="77777777" w:rsidR="00EA737F" w:rsidRDefault="00EA737F"/>
    <w:p w14:paraId="02934328" w14:textId="77777777" w:rsidR="0019504D" w:rsidRDefault="0019504D"/>
    <w:p w14:paraId="6683FBD1" w14:textId="77777777" w:rsidR="0019504D" w:rsidRDefault="0019504D"/>
    <w:p w14:paraId="70607A29" w14:textId="77777777" w:rsidR="00EA737F" w:rsidRPr="00EA737F" w:rsidRDefault="00CD620A" w:rsidP="00EA737F">
      <w:pPr>
        <w:spacing w:line="276" w:lineRule="auto"/>
        <w:rPr>
          <w:b/>
          <w:bCs/>
          <w:lang w:val="en-US"/>
        </w:rPr>
      </w:pPr>
      <w:r w:rsidRPr="00EA737F">
        <w:rPr>
          <w:b/>
          <w:bCs/>
          <w:lang w:val="en-US"/>
        </w:rPr>
        <w:t>In no more than 500 words</w:t>
      </w:r>
      <w:r w:rsidR="00716E23">
        <w:rPr>
          <w:b/>
          <w:bCs/>
          <w:lang w:val="en-US"/>
        </w:rPr>
        <w:t>,</w:t>
      </w:r>
      <w:r w:rsidR="00481859">
        <w:rPr>
          <w:b/>
          <w:bCs/>
          <w:lang w:val="en-US"/>
        </w:rPr>
        <w:t xml:space="preserve"> each explain</w:t>
      </w:r>
      <w:r w:rsidR="00716E23">
        <w:rPr>
          <w:b/>
          <w:bCs/>
          <w:lang w:val="en-US"/>
        </w:rPr>
        <w:t xml:space="preserve"> and 2-4 references:</w:t>
      </w:r>
    </w:p>
    <w:p w14:paraId="403B63B1" w14:textId="77777777" w:rsidR="00EA737F" w:rsidRDefault="00EA737F" w:rsidP="00EA737F">
      <w:pPr>
        <w:spacing w:line="276" w:lineRule="auto"/>
        <w:rPr>
          <w:lang w:val="en-US"/>
        </w:rPr>
      </w:pPr>
    </w:p>
    <w:p w14:paraId="416C4D40" w14:textId="77777777" w:rsidR="00716E23" w:rsidRDefault="00EA737F" w:rsidP="00716E23">
      <w:pPr>
        <w:spacing w:line="276" w:lineRule="auto"/>
        <w:rPr>
          <w:b/>
          <w:bCs/>
          <w:lang w:val="en-US"/>
        </w:rPr>
      </w:pPr>
      <w:r w:rsidRPr="002565DA">
        <w:rPr>
          <w:b/>
          <w:bCs/>
          <w:lang w:val="en-US"/>
        </w:rPr>
        <w:t xml:space="preserve">1- </w:t>
      </w:r>
      <w:r w:rsidR="00716E23" w:rsidRPr="002565DA">
        <w:rPr>
          <w:b/>
          <w:bCs/>
          <w:lang w:val="en-US"/>
        </w:rPr>
        <w:t>What are subsidiary bodies in international tourism governance? Explain their general role within UNWTO.</w:t>
      </w:r>
    </w:p>
    <w:p w14:paraId="73C01C7D" w14:textId="77777777" w:rsidR="002565DA" w:rsidRPr="002565DA" w:rsidRDefault="002565DA" w:rsidP="00716E23">
      <w:pPr>
        <w:spacing w:line="276" w:lineRule="auto"/>
        <w:rPr>
          <w:b/>
          <w:bCs/>
          <w:lang w:val="en-US"/>
        </w:rPr>
      </w:pPr>
    </w:p>
    <w:p w14:paraId="4032A16E" w14:textId="77777777" w:rsidR="00FB3399" w:rsidRPr="00FB3399" w:rsidRDefault="00C70025" w:rsidP="00FB3399">
      <w:pPr>
        <w:spacing w:line="276" w:lineRule="auto"/>
        <w:rPr>
          <w:lang w:val="en-GB"/>
        </w:rPr>
      </w:pPr>
      <w:proofErr w:type="gramStart"/>
      <w:r>
        <w:rPr>
          <w:lang w:val="en-US"/>
        </w:rPr>
        <w:t>Answer :</w:t>
      </w:r>
      <w:proofErr w:type="gramEnd"/>
      <w:r>
        <w:rPr>
          <w:lang w:val="en-US"/>
        </w:rPr>
        <w:t xml:space="preserve"> </w:t>
      </w:r>
      <w:r w:rsidR="00FB3399" w:rsidRPr="00FB3399">
        <w:rPr>
          <w:lang w:val="en-GB"/>
        </w:rPr>
        <w:t xml:space="preserve">Formal institutional arrangements designed to support international tourism organizations in performing specialized, operational, and advisory responsibilities are known as subsidiary bodies in international tourism governance. These organizations are crucial tools in the World Tourism Organization (UNWTO) for converting overarching policy goals into practical plans and locally pertinent projects. </w:t>
      </w:r>
      <w:r w:rsidR="00FB3399" w:rsidRPr="00FB3399">
        <w:rPr>
          <w:lang w:val="en-GB"/>
        </w:rPr>
        <w:br/>
      </w:r>
      <w:r w:rsidR="00FB3399" w:rsidRPr="00FB3399">
        <w:rPr>
          <w:lang w:val="en-GB"/>
        </w:rPr>
        <w:br/>
        <w:t xml:space="preserve">Regional commissions, standing committees, expert groups, and task forces are examples of subsidiary entities that were formed to address </w:t>
      </w:r>
      <w:proofErr w:type="gramStart"/>
      <w:r w:rsidR="00FB3399" w:rsidRPr="00FB3399">
        <w:rPr>
          <w:lang w:val="en-GB"/>
        </w:rPr>
        <w:t>particular policy</w:t>
      </w:r>
      <w:proofErr w:type="gramEnd"/>
      <w:r w:rsidR="00FB3399" w:rsidRPr="00FB3399">
        <w:rPr>
          <w:lang w:val="en-GB"/>
        </w:rPr>
        <w:t xml:space="preserve"> areas, such as tourist statistics, ethics, education, innovation, crisis management, and sustainable tourism development. In contrast to the General Assembly, which serves as the highest decision-making body, subsidiary bodies are more consultative and technical in nature, offering ongoing input to promote informed governance. </w:t>
      </w:r>
      <w:r w:rsidR="00FB3399" w:rsidRPr="00FB3399">
        <w:rPr>
          <w:lang w:val="en-GB"/>
        </w:rPr>
        <w:br/>
      </w:r>
      <w:r w:rsidR="00FB3399" w:rsidRPr="00FB3399">
        <w:rPr>
          <w:lang w:val="en-GB"/>
        </w:rPr>
        <w:br/>
        <w:t xml:space="preserve">Creating expertise and supporting policy are two of the main responsibilities of UNWTO subsidiary organizations. These organizations carry out studies, evaluate international tourist patterns, and create policy recommendations that assist member nations in addressing new issues including overtourism, climate change, digitalization, and public health emergencies. Resolutions passed by the General Assembly and Executive Council are frequently influenced by their suggestions. </w:t>
      </w:r>
      <w:r w:rsidR="00FB3399" w:rsidRPr="00FB3399">
        <w:rPr>
          <w:lang w:val="en-GB"/>
        </w:rPr>
        <w:br/>
      </w:r>
      <w:r w:rsidR="00FB3399" w:rsidRPr="00FB3399">
        <w:rPr>
          <w:lang w:val="en-GB"/>
        </w:rPr>
        <w:br/>
        <w:t xml:space="preserve">Coordination and inclusivity at the regional level have a significant influence as well. UNWTO makes ensuring that tourist strategies </w:t>
      </w:r>
      <w:proofErr w:type="gramStart"/>
      <w:r w:rsidR="00FB3399" w:rsidRPr="00FB3399">
        <w:rPr>
          <w:lang w:val="en-GB"/>
        </w:rPr>
        <w:t>take into account</w:t>
      </w:r>
      <w:proofErr w:type="gramEnd"/>
      <w:r w:rsidR="00FB3399" w:rsidRPr="00FB3399">
        <w:rPr>
          <w:lang w:val="en-GB"/>
        </w:rPr>
        <w:t xml:space="preserve"> the various economic, cultural, and </w:t>
      </w:r>
      <w:r w:rsidR="00FB3399" w:rsidRPr="00FB3399">
        <w:rPr>
          <w:lang w:val="en-GB"/>
        </w:rPr>
        <w:lastRenderedPageBreak/>
        <w:t xml:space="preserve">developmental realities of various regions through Regional Commissions. Member governments can discuss region-specific issues, exchange best practices, and work together on cooperative projects that support international tourism goals thanks to this framework. </w:t>
      </w:r>
      <w:r w:rsidR="00FB3399" w:rsidRPr="00FB3399">
        <w:rPr>
          <w:lang w:val="en-GB"/>
        </w:rPr>
        <w:br/>
      </w:r>
      <w:r w:rsidR="00FB3399" w:rsidRPr="00FB3399">
        <w:rPr>
          <w:lang w:val="en-GB"/>
        </w:rPr>
        <w:br/>
        <w:t xml:space="preserve">Subsidiary organizations also help with implementation, assessment, and monitoring. They facilitate the implementation of global frameworks, including sustainability norms and ethical standards, by assessing progress, enticing adherence, and supporting initiatives that increase capacity. By doing this, they improve international tourist governance's consistency and accountability. </w:t>
      </w:r>
      <w:r w:rsidR="00FB3399" w:rsidRPr="00FB3399">
        <w:rPr>
          <w:lang w:val="en-GB"/>
        </w:rPr>
        <w:br/>
      </w:r>
      <w:r w:rsidR="00FB3399" w:rsidRPr="00FB3399">
        <w:rPr>
          <w:lang w:val="en-GB"/>
        </w:rPr>
        <w:br/>
        <w:t>In general, subsidiary organizations improve UNWTO's efficacy, credibility, and flexibility. They guarantee that international tourist governance continues to be responsive to both local needs and global aspirations by fusing specialized knowledge with regional representation.</w:t>
      </w:r>
    </w:p>
    <w:p w14:paraId="544086D5" w14:textId="77777777" w:rsidR="00FB3399" w:rsidRDefault="00FB3399" w:rsidP="00FB3399">
      <w:pPr>
        <w:spacing w:line="276" w:lineRule="auto"/>
        <w:rPr>
          <w:b/>
          <w:bCs/>
          <w:lang w:val="en-US"/>
        </w:rPr>
      </w:pPr>
    </w:p>
    <w:p w14:paraId="0BC7F293" w14:textId="27FDF22E" w:rsidR="00EA737F" w:rsidRPr="002565DA" w:rsidRDefault="00716E23" w:rsidP="00FB3399">
      <w:pPr>
        <w:spacing w:line="276" w:lineRule="auto"/>
        <w:rPr>
          <w:b/>
          <w:bCs/>
          <w:lang w:val="en-US"/>
        </w:rPr>
      </w:pPr>
      <w:r w:rsidRPr="002565DA">
        <w:rPr>
          <w:b/>
          <w:bCs/>
          <w:lang w:val="en-US"/>
        </w:rPr>
        <w:t>2- What is the Manila Declaration on World Tourism (1980)? Why is it considered a milestone in tourism policy?</w:t>
      </w:r>
    </w:p>
    <w:p w14:paraId="10B1B49E" w14:textId="77777777" w:rsidR="00EA737F" w:rsidRDefault="00EA737F" w:rsidP="00EA737F">
      <w:pPr>
        <w:spacing w:line="276" w:lineRule="auto"/>
        <w:rPr>
          <w:lang w:val="en-US"/>
        </w:rPr>
      </w:pPr>
    </w:p>
    <w:p w14:paraId="2A90AEFA" w14:textId="77777777" w:rsidR="00FB3399" w:rsidRPr="00FB3399" w:rsidRDefault="00C70025" w:rsidP="00FB3399">
      <w:pPr>
        <w:spacing w:line="276" w:lineRule="auto"/>
        <w:rPr>
          <w:lang w:val="en-GB"/>
        </w:rPr>
      </w:pPr>
      <w:proofErr w:type="gramStart"/>
      <w:r>
        <w:rPr>
          <w:lang w:val="en-US"/>
        </w:rPr>
        <w:t xml:space="preserve">Answer </w:t>
      </w:r>
      <w:r w:rsidR="0091369A">
        <w:rPr>
          <w:lang w:val="en-US"/>
        </w:rPr>
        <w:t>:</w:t>
      </w:r>
      <w:proofErr w:type="gramEnd"/>
      <w:r w:rsidR="0091369A">
        <w:rPr>
          <w:lang w:val="en-US"/>
        </w:rPr>
        <w:t xml:space="preserve"> </w:t>
      </w:r>
      <w:r w:rsidR="00FB3399" w:rsidRPr="00FB3399">
        <w:rPr>
          <w:lang w:val="en-GB"/>
        </w:rPr>
        <w:t xml:space="preserve">The Manila Declaration on World Tourism is a significant international policy declaration that was approved during the 1980 World Tourism Conference in Manila, Philippines. The World Tourism Organization oversaw the creation of the Declaration, which offered a comprehensive analysis of tourism as a force for social justice, economic expansion, intercultural understanding, and global cooperation. </w:t>
      </w:r>
      <w:r w:rsidR="00FB3399" w:rsidRPr="00FB3399">
        <w:rPr>
          <w:lang w:val="en-GB"/>
        </w:rPr>
        <w:br/>
        <w:t xml:space="preserve">The Declaration emphasized how tourism can improve the quality of life for individuals and societies. It highlighted how tourism, particularly in developing nations, helps create jobs, boost regional economies, and generate foreign cash. Importantly, it also highlighted how important it is for tourism development to respect the cultural identity, traditions, and values of host communities. </w:t>
      </w:r>
      <w:r w:rsidR="00FB3399" w:rsidRPr="00FB3399">
        <w:rPr>
          <w:lang w:val="en-GB"/>
        </w:rPr>
        <w:br/>
        <w:t xml:space="preserve">The Manila Declaration is widely seen as a watershed in the history of tourist policy because it created a moral and legal basis for international tourism regulation. One of its most significant contributions was the recognition of tourism as a basic human activity that is closely linked to the freedom of movement, leisure, and relaxation. This perspective made tourism a legitimate subject for public policy rather than just a commercial effort. </w:t>
      </w:r>
      <w:r w:rsidR="00FB3399" w:rsidRPr="00FB3399">
        <w:rPr>
          <w:lang w:val="en-GB"/>
        </w:rPr>
        <w:br/>
        <w:t xml:space="preserve">Important instructions for the expansion of sustainable tourism were also anticipated in the Declaration. It promoted environmental preservation, responsible use of natural and cultural resources, and balanced tourist growth—ideas that later became crucial to international tourism strategies and sustainability agendas. </w:t>
      </w:r>
      <w:r w:rsidR="00FB3399" w:rsidRPr="00FB3399">
        <w:rPr>
          <w:lang w:val="en-GB"/>
        </w:rPr>
        <w:br/>
        <w:t xml:space="preserve">The importance of international cooperation to the travel industry was again highlighted in the Declaration. It encouraged collaboration between governments, international organizations, and the private sector </w:t>
      </w:r>
      <w:proofErr w:type="gramStart"/>
      <w:r w:rsidR="00FB3399" w:rsidRPr="00FB3399">
        <w:rPr>
          <w:lang w:val="en-GB"/>
        </w:rPr>
        <w:t>in order to</w:t>
      </w:r>
      <w:proofErr w:type="gramEnd"/>
      <w:r w:rsidR="00FB3399" w:rsidRPr="00FB3399">
        <w:rPr>
          <w:lang w:val="en-GB"/>
        </w:rPr>
        <w:t xml:space="preserve"> reduce disparities in the expansion of tourism and enhance global understanding. </w:t>
      </w:r>
      <w:r w:rsidR="00FB3399" w:rsidRPr="00FB3399">
        <w:rPr>
          <w:lang w:val="en-GB"/>
        </w:rPr>
        <w:br/>
      </w:r>
      <w:r w:rsidR="00FB3399" w:rsidRPr="00FB3399">
        <w:rPr>
          <w:lang w:val="en-GB"/>
        </w:rPr>
        <w:lastRenderedPageBreak/>
        <w:t>In essence, the Manila Declaration created the legal and theoretical foundation for modern international tourism governance. Because its principles continue to influence international tourism rules, development plans, and ethical standards, it is a landmark work in the history of tourism policy.</w:t>
      </w:r>
    </w:p>
    <w:p w14:paraId="5F1B6CDA" w14:textId="0B958072" w:rsidR="00C70025" w:rsidRDefault="00C70025" w:rsidP="00EA737F">
      <w:pPr>
        <w:spacing w:line="276" w:lineRule="auto"/>
        <w:rPr>
          <w:lang w:val="en-US"/>
        </w:rPr>
      </w:pPr>
    </w:p>
    <w:p w14:paraId="3BCD059D" w14:textId="4787E3BB" w:rsidR="00C70025" w:rsidRPr="00C70025" w:rsidRDefault="00C70025" w:rsidP="00EA737F">
      <w:pPr>
        <w:spacing w:line="276" w:lineRule="auto"/>
        <w:rPr>
          <w:b/>
          <w:bCs/>
          <w:lang w:val="en-US"/>
        </w:rPr>
      </w:pPr>
      <w:r w:rsidRPr="00C70025">
        <w:rPr>
          <w:b/>
          <w:bCs/>
          <w:lang w:val="en-US"/>
        </w:rPr>
        <w:t>References</w:t>
      </w:r>
    </w:p>
    <w:p w14:paraId="64994DC3" w14:textId="77777777" w:rsidR="00C70025" w:rsidRDefault="00C70025" w:rsidP="00EA737F">
      <w:pPr>
        <w:spacing w:line="276" w:lineRule="auto"/>
        <w:rPr>
          <w:lang w:val="en-US"/>
        </w:rPr>
      </w:pPr>
    </w:p>
    <w:p w14:paraId="138DC932" w14:textId="77777777" w:rsidR="0091369A" w:rsidRPr="0091369A" w:rsidRDefault="0091369A" w:rsidP="0091369A">
      <w:pPr>
        <w:numPr>
          <w:ilvl w:val="0"/>
          <w:numId w:val="1"/>
        </w:numPr>
        <w:spacing w:line="276" w:lineRule="auto"/>
        <w:rPr>
          <w:lang w:val="en-GB"/>
        </w:rPr>
      </w:pPr>
      <w:r w:rsidRPr="0091369A">
        <w:rPr>
          <w:lang w:val="en-GB"/>
        </w:rPr>
        <w:t xml:space="preserve">Hall, C. M., &amp; Jenkins, J. M. (2004). Tourism and public policy. In A. A. Lew et al. (Eds.), </w:t>
      </w:r>
      <w:r w:rsidRPr="0091369A">
        <w:rPr>
          <w:i/>
          <w:iCs/>
          <w:lang w:val="en-GB"/>
        </w:rPr>
        <w:t>A companion to tourism</w:t>
      </w:r>
      <w:r w:rsidRPr="0091369A">
        <w:rPr>
          <w:lang w:val="en-GB"/>
        </w:rPr>
        <w:t xml:space="preserve"> (pp. 525–537). Blackwell Publishing.</w:t>
      </w:r>
    </w:p>
    <w:p w14:paraId="416C38AA" w14:textId="77777777" w:rsidR="0091369A" w:rsidRPr="0091369A" w:rsidRDefault="0091369A" w:rsidP="0091369A">
      <w:pPr>
        <w:numPr>
          <w:ilvl w:val="0"/>
          <w:numId w:val="1"/>
        </w:numPr>
        <w:spacing w:line="276" w:lineRule="auto"/>
        <w:rPr>
          <w:lang w:val="en-GB"/>
        </w:rPr>
      </w:pPr>
      <w:r w:rsidRPr="0091369A">
        <w:rPr>
          <w:lang w:val="en-GB"/>
        </w:rPr>
        <w:t xml:space="preserve">Holden, A. (2016). </w:t>
      </w:r>
      <w:r w:rsidRPr="0091369A">
        <w:rPr>
          <w:i/>
          <w:iCs/>
          <w:lang w:val="en-GB"/>
        </w:rPr>
        <w:t>Environment and tourism</w:t>
      </w:r>
      <w:r w:rsidRPr="0091369A">
        <w:rPr>
          <w:lang w:val="en-GB"/>
        </w:rPr>
        <w:t xml:space="preserve"> (3rd ed.). Routledge. https://doi.org/10.4324/9781315768864</w:t>
      </w:r>
    </w:p>
    <w:p w14:paraId="6FC69FC1" w14:textId="77777777" w:rsidR="0091369A" w:rsidRPr="0091369A" w:rsidRDefault="0091369A" w:rsidP="0091369A">
      <w:pPr>
        <w:numPr>
          <w:ilvl w:val="0"/>
          <w:numId w:val="1"/>
        </w:numPr>
        <w:spacing w:line="276" w:lineRule="auto"/>
        <w:rPr>
          <w:lang w:val="en-GB"/>
        </w:rPr>
      </w:pPr>
      <w:r w:rsidRPr="0091369A">
        <w:rPr>
          <w:lang w:val="en-GB"/>
        </w:rPr>
        <w:t xml:space="preserve">Sharpley, R. (2009). </w:t>
      </w:r>
      <w:r w:rsidRPr="0091369A">
        <w:rPr>
          <w:i/>
          <w:iCs/>
          <w:lang w:val="en-GB"/>
        </w:rPr>
        <w:t>Tourism development and the environment: Beyond sustainability?</w:t>
      </w:r>
      <w:r w:rsidRPr="0091369A">
        <w:rPr>
          <w:lang w:val="en-GB"/>
        </w:rPr>
        <w:t xml:space="preserve"> Earthscan.</w:t>
      </w:r>
    </w:p>
    <w:p w14:paraId="31EBB2B0" w14:textId="77777777" w:rsidR="0091369A" w:rsidRPr="0091369A" w:rsidRDefault="0091369A" w:rsidP="0091369A">
      <w:pPr>
        <w:numPr>
          <w:ilvl w:val="0"/>
          <w:numId w:val="1"/>
        </w:numPr>
        <w:spacing w:line="276" w:lineRule="auto"/>
        <w:rPr>
          <w:lang w:val="en-GB"/>
        </w:rPr>
      </w:pPr>
      <w:r w:rsidRPr="0091369A">
        <w:rPr>
          <w:lang w:val="en-GB"/>
        </w:rPr>
        <w:t xml:space="preserve">United Nations World Tourism Organization (UNWTO). (1980). </w:t>
      </w:r>
      <w:r w:rsidRPr="0091369A">
        <w:rPr>
          <w:i/>
          <w:iCs/>
          <w:lang w:val="en-GB"/>
        </w:rPr>
        <w:t>Manila Declaration on World Tourism</w:t>
      </w:r>
      <w:r w:rsidRPr="0091369A">
        <w:rPr>
          <w:lang w:val="en-GB"/>
        </w:rPr>
        <w:t>. Madrid: UNWTO.</w:t>
      </w:r>
    </w:p>
    <w:p w14:paraId="3A32E247" w14:textId="77777777" w:rsidR="0091369A" w:rsidRPr="0091369A" w:rsidRDefault="0091369A" w:rsidP="0091369A">
      <w:pPr>
        <w:numPr>
          <w:ilvl w:val="0"/>
          <w:numId w:val="1"/>
        </w:numPr>
        <w:spacing w:line="276" w:lineRule="auto"/>
        <w:rPr>
          <w:lang w:val="en-GB"/>
        </w:rPr>
      </w:pPr>
      <w:r w:rsidRPr="0091369A">
        <w:rPr>
          <w:lang w:val="en-GB"/>
        </w:rPr>
        <w:t xml:space="preserve">United Nations World Tourism Organization (UNWTO). (2022). </w:t>
      </w:r>
      <w:r w:rsidRPr="0091369A">
        <w:rPr>
          <w:i/>
          <w:iCs/>
          <w:lang w:val="en-GB"/>
        </w:rPr>
        <w:t>International tourism governance and policy frameworks</w:t>
      </w:r>
      <w:r w:rsidRPr="0091369A">
        <w:rPr>
          <w:lang w:val="en-GB"/>
        </w:rPr>
        <w:t>. Madrid: UNWTO.</w:t>
      </w:r>
    </w:p>
    <w:p w14:paraId="5829232A" w14:textId="77777777" w:rsidR="00C70025" w:rsidRPr="00903466" w:rsidRDefault="00C70025" w:rsidP="0091369A">
      <w:pPr>
        <w:spacing w:line="276" w:lineRule="auto"/>
        <w:ind w:left="720"/>
        <w:rPr>
          <w:lang w:val="en-US"/>
        </w:rPr>
      </w:pPr>
    </w:p>
    <w:sectPr w:rsidR="00C70025" w:rsidRPr="009034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B89C7347-4E9B-482A-B6B3-69739BBAC395}"/>
    <w:embedBold r:id="rId2" w:fontKey="{35435172-3961-4572-B765-229380DCEF85}"/>
    <w:embedItalic r:id="rId3" w:fontKey="{6DB0B3D2-68F0-44B1-A802-664E6A6F92C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FC0267C9-C064-4C0E-B388-F64CB0531280}"/>
  </w:font>
  <w:font w:name="Calibri Light">
    <w:panose1 w:val="020F0302020204030204"/>
    <w:charset w:val="00"/>
    <w:family w:val="swiss"/>
    <w:pitch w:val="variable"/>
    <w:sig w:usb0="E4002EFF" w:usb1="C000247B" w:usb2="00000009" w:usb3="00000000" w:csb0="000001FF" w:csb1="00000000"/>
    <w:embedRegular r:id="rId5" w:fontKey="{F63AADF1-6F67-405F-BB38-CE552C0E0D53}"/>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414169"/>
    <w:multiLevelType w:val="multilevel"/>
    <w:tmpl w:val="56B4C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FA436BA"/>
    <w:multiLevelType w:val="multilevel"/>
    <w:tmpl w:val="91DE9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97253393">
    <w:abstractNumId w:val="1"/>
  </w:num>
  <w:num w:numId="2" w16cid:durableId="11522588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565DA"/>
    <w:rsid w:val="002F4AE0"/>
    <w:rsid w:val="00384E8A"/>
    <w:rsid w:val="003D1074"/>
    <w:rsid w:val="00426865"/>
    <w:rsid w:val="00477CAA"/>
    <w:rsid w:val="00481859"/>
    <w:rsid w:val="00502E29"/>
    <w:rsid w:val="00525072"/>
    <w:rsid w:val="005E458B"/>
    <w:rsid w:val="00661030"/>
    <w:rsid w:val="00686ACB"/>
    <w:rsid w:val="00687DF8"/>
    <w:rsid w:val="00716E23"/>
    <w:rsid w:val="00844EC2"/>
    <w:rsid w:val="008516FE"/>
    <w:rsid w:val="00903466"/>
    <w:rsid w:val="0091369A"/>
    <w:rsid w:val="009C1D0A"/>
    <w:rsid w:val="00A044F7"/>
    <w:rsid w:val="00A22845"/>
    <w:rsid w:val="00A8150E"/>
    <w:rsid w:val="00B20343"/>
    <w:rsid w:val="00B85EA7"/>
    <w:rsid w:val="00BE65DD"/>
    <w:rsid w:val="00C21EBA"/>
    <w:rsid w:val="00C612A4"/>
    <w:rsid w:val="00C70025"/>
    <w:rsid w:val="00CC6AD1"/>
    <w:rsid w:val="00CD620A"/>
    <w:rsid w:val="00E06B94"/>
    <w:rsid w:val="00E6778A"/>
    <w:rsid w:val="00EA737F"/>
    <w:rsid w:val="00F25F5B"/>
    <w:rsid w:val="00F837B1"/>
    <w:rsid w:val="00FB3399"/>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A666F"/>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NormalWeb">
    <w:name w:val="Normal (Web)"/>
    <w:basedOn w:val="Normal"/>
    <w:uiPriority w:val="99"/>
    <w:semiHidden/>
    <w:unhideWhenUsed/>
    <w:rsid w:val="00C70025"/>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841</Words>
  <Characters>4795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2026-01-20T13:04:00Z</dcterms:created>
  <dcterms:modified xsi:type="dcterms:W3CDTF">2026-01-20T13:04:00Z</dcterms:modified>
</cp:coreProperties>
</file>