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E41FF" w14:textId="77777777" w:rsidR="002F1695" w:rsidRDefault="00000000">
      <w:pPr>
        <w:spacing w:before="1600"/>
        <w:jc w:val="center"/>
      </w:pPr>
      <w:r>
        <w:rPr>
          <w:b/>
          <w:sz w:val="32"/>
        </w:rPr>
        <w:t>Intangible Cultural Heritage and Community Participation</w:t>
      </w:r>
    </w:p>
    <w:p w14:paraId="74C6A5AE" w14:textId="77777777" w:rsidR="002F1695" w:rsidRDefault="00000000">
      <w:pPr>
        <w:jc w:val="center"/>
      </w:pPr>
      <w:r>
        <w:t>M22 Cultural Heritage Management</w:t>
      </w:r>
    </w:p>
    <w:p w14:paraId="03CF0072" w14:textId="77777777" w:rsidR="002F1695" w:rsidRDefault="00000000">
      <w:pPr>
        <w:jc w:val="center"/>
      </w:pPr>
      <w:r>
        <w:t>Detailed Project Report</w:t>
      </w:r>
    </w:p>
    <w:p w14:paraId="3750CF2F" w14:textId="77777777" w:rsidR="002F1695" w:rsidRDefault="00000000">
      <w:pPr>
        <w:jc w:val="center"/>
      </w:pPr>
      <w:r>
        <w:t>Option 2: Intangible Cultural Heritage and Community Participation</w:t>
      </w:r>
    </w:p>
    <w:p w14:paraId="6DC95AB4" w14:textId="77777777" w:rsidR="002F1695" w:rsidRDefault="00000000">
      <w:pPr>
        <w:jc w:val="center"/>
      </w:pPr>
      <w:r>
        <w:t>Date: 18 May 2026</w:t>
      </w:r>
    </w:p>
    <w:p w14:paraId="60A99915" w14:textId="77777777" w:rsidR="002F1695" w:rsidRDefault="00000000">
      <w:r>
        <w:br w:type="page"/>
      </w:r>
    </w:p>
    <w:p w14:paraId="6562B7D5" w14:textId="77777777" w:rsidR="002F1695" w:rsidRDefault="00000000">
      <w:pPr>
        <w:pStyle w:val="Heading1"/>
      </w:pPr>
      <w:r>
        <w:lastRenderedPageBreak/>
        <w:t>Table of Contents</w:t>
      </w:r>
    </w:p>
    <w:p w14:paraId="1733543A" w14:textId="77777777" w:rsidR="002F1695" w:rsidRDefault="00000000">
      <w:pPr>
        <w:ind w:left="360"/>
      </w:pPr>
      <w:r>
        <w:t>Abstract</w:t>
      </w:r>
    </w:p>
    <w:p w14:paraId="2732F37D" w14:textId="77777777" w:rsidR="002F1695" w:rsidRDefault="00000000">
      <w:pPr>
        <w:ind w:left="360"/>
      </w:pPr>
      <w:r>
        <w:t>Introduction</w:t>
      </w:r>
    </w:p>
    <w:p w14:paraId="68B3C1A6" w14:textId="77777777" w:rsidR="002F1695" w:rsidRDefault="00000000">
      <w:pPr>
        <w:ind w:left="360"/>
      </w:pPr>
      <w:r>
        <w:t>Literature Review</w:t>
      </w:r>
    </w:p>
    <w:p w14:paraId="5318E2D5" w14:textId="77777777" w:rsidR="002F1695" w:rsidRDefault="00000000">
      <w:pPr>
        <w:ind w:left="360"/>
      </w:pPr>
      <w:r>
        <w:t>Methodology</w:t>
      </w:r>
    </w:p>
    <w:p w14:paraId="7CC2E3EF" w14:textId="77777777" w:rsidR="002F1695" w:rsidRDefault="00000000">
      <w:pPr>
        <w:ind w:left="360"/>
      </w:pPr>
      <w:r>
        <w:t>Findings</w:t>
      </w:r>
    </w:p>
    <w:p w14:paraId="5BAF50DE" w14:textId="77777777" w:rsidR="002F1695" w:rsidRDefault="00000000">
      <w:pPr>
        <w:ind w:left="360"/>
      </w:pPr>
      <w:r>
        <w:t>Discussion</w:t>
      </w:r>
    </w:p>
    <w:p w14:paraId="6FBE3707" w14:textId="77777777" w:rsidR="002F1695" w:rsidRDefault="00000000">
      <w:pPr>
        <w:ind w:left="360"/>
      </w:pPr>
      <w:r>
        <w:t>Conclusion</w:t>
      </w:r>
    </w:p>
    <w:p w14:paraId="6F51F456" w14:textId="77777777" w:rsidR="002F1695" w:rsidRDefault="00000000">
      <w:pPr>
        <w:ind w:left="360"/>
      </w:pPr>
      <w:r>
        <w:t>References</w:t>
      </w:r>
    </w:p>
    <w:p w14:paraId="36177D8E" w14:textId="77777777" w:rsidR="002F1695" w:rsidRDefault="00000000">
      <w:pPr>
        <w:ind w:left="360"/>
      </w:pPr>
      <w:r>
        <w:t>Appendices</w:t>
      </w:r>
    </w:p>
    <w:p w14:paraId="3E38833B" w14:textId="77777777" w:rsidR="002F1695" w:rsidRDefault="00000000">
      <w:r>
        <w:br w:type="page"/>
      </w:r>
    </w:p>
    <w:p w14:paraId="190F55B0" w14:textId="77777777" w:rsidR="002F1695" w:rsidRDefault="00000000">
      <w:pPr>
        <w:pStyle w:val="Heading1"/>
      </w:pPr>
      <w:r>
        <w:lastRenderedPageBreak/>
        <w:t>Abstract</w:t>
      </w:r>
    </w:p>
    <w:p w14:paraId="7C56FFF3" w14:textId="77777777" w:rsidR="002F1695" w:rsidRDefault="00000000">
      <w:pPr>
        <w:ind w:firstLine="720"/>
      </w:pPr>
      <w:r>
        <w:t>This strategic paper examines the preservation of intangible cultural heritage through community participation. Intangible cultural heritage refers to living cultural practices, expressions, knowledge and skills such as oral traditions, rituals, festivals, performing arts, traditional craftsmanship and social practices. The report argues that intangible heritage cannot be safeguarded through documentation alone because its existence depends on continuing practice, transmission and community recognition. Using a qualitative desk-based methodology, the paper analyses UNESCO’s 2003 Convention, heritage scholarship and selected examples of safeguarding practice. The findings show that communities are not simply sources of cultural material. They are the primary bearers, interpreters and transmitters of intangible heritage. Effective safeguarding therefore requires participatory inventories, intergenerational learning, education, ethical cultural tourism, digital documentation, legal support and community-controlled benefit sharing. The report also identifies major threats, including globalisation, migration, commercialisation, language loss, environmental change and the decline of traditional apprenticeship systems. The discussion warns that safeguarding can become extractive when institutions record, brand or market cultural practices without empowering practitioners. The report concludes that sustainable safeguarding must protect the conditions under which communities can continue practising and adapting their heritage. Preservation should therefore focus on living continuity rather than freezing cultural expressions as museum objects.</w:t>
      </w:r>
    </w:p>
    <w:p w14:paraId="30A60444" w14:textId="77777777" w:rsidR="002F1695" w:rsidRDefault="00000000">
      <w:pPr>
        <w:pStyle w:val="Heading1"/>
      </w:pPr>
      <w:r>
        <w:t>Introduction</w:t>
      </w:r>
    </w:p>
    <w:p w14:paraId="6BFE6943" w14:textId="77777777" w:rsidR="002F1695" w:rsidRDefault="00000000">
      <w:pPr>
        <w:ind w:firstLine="720"/>
      </w:pPr>
      <w:r>
        <w:t xml:space="preserve">Intangible cultural heritage is the living dimension of culture. It includes the songs people sing, the rituals they perform, the festivals they organise, the stories they transmit, the craft skills </w:t>
      </w:r>
      <w:r>
        <w:lastRenderedPageBreak/>
        <w:t>they teach, the food practices they maintain and the oral histories through which communities understand themselves. Unlike a monument, intangible heritage cannot be preserved only by repairing physical material. It survives when communities continue to practise it, adapt it and transmit it to future generations. UNESCO’s 2003 Convention defines intangible cultural heritage as practices, representations, expressions, knowledge and skills that communities, groups and sometimes individuals recognise as part of their cultural heritage (UNESCO, 2003). This definition places communities at the centre of heritage recognition and safeguarding.</w:t>
      </w:r>
    </w:p>
    <w:p w14:paraId="1A1910E6" w14:textId="77777777" w:rsidR="002F1695" w:rsidRDefault="00000000">
      <w:pPr>
        <w:ind w:firstLine="720"/>
      </w:pPr>
      <w:r>
        <w:t>The preservation of intangible cultural heritage has become urgent because many cultural practices face pressure from globalisation, urban migration, commercialisation, environmental change and the weakening of intergenerational transmission. Young people may move away from traditional communities, local languages may decline, rituals may be shortened for tourist display, and craft knowledge may be replaced by cheaper mass-produced goods. At the same time, intangible heritage can support identity, social cohesion, creativity, education, wellbeing and sustainable livelihoods. The challenge is therefore to safeguard living traditions without turning them into fixed performances controlled by outsiders.</w:t>
      </w:r>
    </w:p>
    <w:p w14:paraId="4EAA0E36" w14:textId="77777777" w:rsidR="002F1695" w:rsidRDefault="00000000">
      <w:pPr>
        <w:ind w:firstLine="720"/>
      </w:pPr>
      <w:r>
        <w:t>This report prepares a strategic paper on intangible cultural heritage and community participation. It explains the meaning of intangible heritage, reviews major academic and institutional perspectives, sets out a topic-based methodology, identifies findings on community roles and threats, and recommends strategies for safeguarding. The central argument is that communities must be treated as decision-makers and rights-holders rather than as objects of cultural preservation. Safeguarding is most effective when it supports living practice, community control and intergenerational transmission.</w:t>
      </w:r>
    </w:p>
    <w:p w14:paraId="6CF01278" w14:textId="77777777" w:rsidR="002F1695" w:rsidRDefault="00000000">
      <w:pPr>
        <w:pStyle w:val="Heading1"/>
      </w:pPr>
      <w:r>
        <w:lastRenderedPageBreak/>
        <w:t>Literature Review</w:t>
      </w:r>
    </w:p>
    <w:p w14:paraId="5101722A" w14:textId="77777777" w:rsidR="002F1695" w:rsidRDefault="00000000">
      <w:pPr>
        <w:ind w:firstLine="720"/>
      </w:pPr>
      <w:r>
        <w:t>The concept of intangible cultural heritage gained international prominence with UNESCO’s 2003 Convention. The Convention shifted heritage policy away from a narrow focus on monuments and objects toward living practices and cultural transmission (UNESCO, 2003). It identifies domains such as oral traditions, performing arts, social practices, rituals, festive events, knowledge concerning nature and the universe, and traditional craftsmanship. This framework is important because it recognises that heritage may exist in performance, memory, skill and relationship rather than only in material form. It also states that communities, groups and individuals play a central role in creating, maintaining and transmitting intangible cultural heritage. This is a major difference from older heritage models where experts and state institutions often decided what counted as heritage.</w:t>
      </w:r>
    </w:p>
    <w:p w14:paraId="3F8596BD" w14:textId="77777777" w:rsidR="002F1695" w:rsidRDefault="00000000">
      <w:pPr>
        <w:ind w:firstLine="720"/>
      </w:pPr>
      <w:r>
        <w:t>Scholars have welcomed this shift but have also raised critical questions. Kirshenblatt-Gimblett (2004) argues that intangible heritage policy can transform living cultural practices into heritage objects through selection, listing and display. Hafstein (2009) similarly warns that safeguarding systems can create official categories that change the practices they aim to protect. These critiques do not reject safeguarding. Instead, they show that heritage recognition is never neutral. Once a practice is listed, funded or marketed, it may become subject to new expectations about authenticity, performance and ownership. Safeguarding strategies must therefore be designed carefully to avoid turning community traditions into externally controlled cultural products.</w:t>
      </w:r>
    </w:p>
    <w:p w14:paraId="02F4B691" w14:textId="77777777" w:rsidR="002F1695" w:rsidRDefault="00000000">
      <w:pPr>
        <w:ind w:firstLine="720"/>
      </w:pPr>
      <w:r>
        <w:t xml:space="preserve">Community participation is the foundation of intangible heritage safeguarding. UNESCO’s framework makes clear that intangible heritage can only be recognised as heritage when communities identify it as their own (UNESCO, 2003). This principle challenges top-down </w:t>
      </w:r>
      <w:r>
        <w:lastRenderedPageBreak/>
        <w:t>heritage management. It means that researchers, governments and tourism bodies should not define, record or promote a tradition without the meaningful consent of its bearers. Smith and Akagawa (2009) argue that intangible heritage creates space for more democratic heritage practice because it foregrounds memory, performance and cultural rights. However, participation must be more than consultation. It should involve community control over what is documented, who has access, how benefits are shared and how sacred or restricted knowledge is protected.</w:t>
      </w:r>
    </w:p>
    <w:p w14:paraId="010C8D5B" w14:textId="77777777" w:rsidR="002F1695" w:rsidRDefault="00000000">
      <w:pPr>
        <w:ind w:firstLine="720"/>
      </w:pPr>
      <w:r>
        <w:t>Transmission is another key theme. Intangible cultural heritage survives through practice, teaching and repetition across generations. This may occur through families, apprenticeships, community ceremonies, festivals, oral storytelling, local schools, religious institutions or craft workshops. Safeguarding therefore differs from archiving. A video recording of a dance or ritual may be useful, but it cannot replace the social conditions needed for performance and learning. Blake (2015) notes that safeguarding includes measures such as identification, documentation, research, preservation, protection, promotion, enhancement, transmission and revitalisation. Among these, transmission is especially important because intangible heritage is dynamic and must remain meaningful to younger practitioners.</w:t>
      </w:r>
    </w:p>
    <w:p w14:paraId="599783C6" w14:textId="77777777" w:rsidR="002F1695" w:rsidRDefault="00000000">
      <w:pPr>
        <w:ind w:firstLine="720"/>
      </w:pPr>
      <w:r>
        <w:t>Globalisation creates both risks and opportunities. On one hand, global media can weaken local languages, standardise tastes and make traditional practices seem outdated. On the other hand, digital tools can help communities record oral histories, teach craft techniques, connect diaspora members and promote cultural pride. The literature therefore avoids a simple view that globalisation only destroys heritage. The issue is whether communities have control over representation and adaptation. If digital platforms are used by practitioners to teach and share, they can support safeguarding. If they are used by outsiders to extract images, music or sacred symbols without permission, they can increase cultural exploitation.</w:t>
      </w:r>
    </w:p>
    <w:p w14:paraId="24A717BF" w14:textId="77777777" w:rsidR="002F1695" w:rsidRDefault="00000000">
      <w:pPr>
        <w:ind w:firstLine="720"/>
      </w:pPr>
      <w:r>
        <w:lastRenderedPageBreak/>
        <w:t>Commercialisation is one of the most debated threats. Tourism and cultural markets can provide income to performers, craft workers and festival organisers. They can also encourage younger people to value traditions that might otherwise decline. However, commercialisation can simplify, shorten or reshape practices to fit tourist expectations. It may reward what is colourful and marketable while neglecting deeper meanings, ritual obligations or community restrictions. Labadi (2013) argues that heritage and development policies must be evaluated critically because economic use can support or distort cultural values depending on governance. Ethical safeguarding therefore requires community-led decisions about what can be shared publicly and what should remain private.</w:t>
      </w:r>
    </w:p>
    <w:p w14:paraId="3946B26F" w14:textId="77777777" w:rsidR="002F1695" w:rsidRDefault="00000000">
      <w:pPr>
        <w:ind w:firstLine="720"/>
      </w:pPr>
      <w:r>
        <w:t>Migration also affects intangible heritage. Rural-to-urban migration, international labour movement and displacement can interrupt transmission by separating younger people from elders, landscapes, languages and ritual calendars. Yet migration can also create diaspora heritage communities that maintain festivals, music, foodways and storytelling in new places. Intangible heritage should therefore not be understood as fixed to one location only. It travels with people, but it may need new forms of support, such as diaspora associations, digital teaching, community language classes and flexible festival spaces. This is particularly important in a world where climate change, conflict and economic pressures continue to move populations.</w:t>
      </w:r>
    </w:p>
    <w:p w14:paraId="68382111" w14:textId="77777777" w:rsidR="002F1695" w:rsidRDefault="00000000">
      <w:pPr>
        <w:ind w:firstLine="720"/>
      </w:pPr>
      <w:r>
        <w:t xml:space="preserve">Overall, the literature presents intangible cultural heritage as living, dynamic and community-defined. Safeguarding should not freeze practices in an idealised past. It should strengthen the ability of communities to continue, adapt and transmit their heritage under changing social conditions. The strongest approaches combine documentation with education, legal support, cultural rights, practitioner livelihoods and intergenerational learning. The weakest </w:t>
      </w:r>
      <w:r>
        <w:lastRenderedPageBreak/>
        <w:t>approaches treat intangible heritage as a tourism product or national branding tool without community authority.</w:t>
      </w:r>
    </w:p>
    <w:p w14:paraId="4C5973B9" w14:textId="77777777" w:rsidR="002F1695" w:rsidRDefault="00000000">
      <w:pPr>
        <w:ind w:firstLine="720"/>
      </w:pPr>
      <w:r>
        <w:t>The relationship between intangible heritage and cultural rights is also important. Lenzerini (2011) describes intangible heritage as the living culture of peoples, which means that safeguarding is connected to dignity, identity and self-determination. This is especially relevant for Indigenous peoples, minority communities and migrant groups whose cultural practices have sometimes been suppressed or misrepresented by dominant institutions. Safeguarding should not only celebrate visible traditions. It should also protect the right of communities to practise, teach and adapt their culture without discrimination. This rights-based view helps explain why consent, control and benefit sharing are ethical requirements rather than optional management preferences.</w:t>
      </w:r>
    </w:p>
    <w:p w14:paraId="1EB9654A" w14:textId="77777777" w:rsidR="002F1695" w:rsidRDefault="00000000">
      <w:pPr>
        <w:ind w:firstLine="720"/>
      </w:pPr>
      <w:r>
        <w:t>Another key debate concerns authenticity. In tangible heritage, authenticity is often discussed in relation to material fabric, design and setting. In intangible heritage, authenticity is more closely related to community recognition, continuity of meaning and social function. A festival may change its route, costumes or music and still remain authentic if the community recognises the change as part of its living tradition. Conversely, a performance may look visually traditional but be culturally weak if it is staged only for outsiders and disconnected from its community context. This means that safeguarding should avoid imposing fixed external standards of authenticity. It should ask whether practitioners themselves see the practice as meaningful, legitimate and connected to their heritage.</w:t>
      </w:r>
    </w:p>
    <w:p w14:paraId="496F7CA2" w14:textId="77777777" w:rsidR="002F1695" w:rsidRDefault="00000000">
      <w:pPr>
        <w:pStyle w:val="Heading1"/>
      </w:pPr>
      <w:r>
        <w:lastRenderedPageBreak/>
        <w:t>Methodology</w:t>
      </w:r>
    </w:p>
    <w:p w14:paraId="550D27E5" w14:textId="77777777" w:rsidR="002F1695" w:rsidRDefault="00000000">
      <w:pPr>
        <w:ind w:firstLine="720"/>
      </w:pPr>
      <w:r>
        <w:t>This strategic paper uses a qualitative desk-based methodology. The topic requires interpretation of policy, theory and practice rather than numerical measurement. The method draws on international conventions, UNESCO materials, academic literature and selected examples of intangible heritage safeguarding. A desk-based approach is appropriate because intangible heritage policy is strongly shaped by international norms and because the assignment asks for strategic recommendations that can be applied across different cultural contexts.</w:t>
      </w:r>
    </w:p>
    <w:p w14:paraId="74C05C3F" w14:textId="77777777" w:rsidR="002F1695" w:rsidRDefault="00000000">
      <w:pPr>
        <w:ind w:firstLine="720"/>
      </w:pPr>
      <w:r>
        <w:t>The first stage involved defining the scope of intangible cultural heritage. The report focused on living practices and knowledge systems rather than tangible monuments. Domains were identified from UNESCO’s 2003 Convention, including oral traditions, performing arts, rituals, festivals, crafts and knowledge concerning nature. This scope helped avoid treating intangible heritage as a vague expression of culture. It also created a clear basis for analysing threats and safeguarding strategies.</w:t>
      </w:r>
    </w:p>
    <w:p w14:paraId="129FD7D9" w14:textId="77777777" w:rsidR="002F1695" w:rsidRDefault="00000000">
      <w:pPr>
        <w:ind w:firstLine="720"/>
      </w:pPr>
      <w:r>
        <w:t>The second stage involved thematic coding of sources. The literature was reviewed according to 6 analytical themes: community recognition, transmission, documentation, commercialisation, migration and safeguarding strategy. These themes were selected because they correspond directly to the assignment requirements and to major debates in intangible heritage studies. Evidence from the sources was then synthesised into findings rather than presented as isolated summaries. This supports a strategic paper because it moves from description to practical recommendations.</w:t>
      </w:r>
    </w:p>
    <w:p w14:paraId="19285628" w14:textId="77777777" w:rsidR="002F1695" w:rsidRDefault="00000000">
      <w:pPr>
        <w:ind w:firstLine="720"/>
      </w:pPr>
      <w:r>
        <w:t xml:space="preserve">The third stage involved developing recommendations. Each recommendation was tested against 3 criteria. First, it had to support community authority rather than external control. Second, it had to protect transmission, not only documentation. Third, it had to be realistic for </w:t>
      </w:r>
      <w:r>
        <w:lastRenderedPageBreak/>
        <w:t>governments, cultural organisations and communities with limited resources. The limitation of the methodology is that it does not include interviews with heritage practitioners. Therefore, the report avoids claiming to speak for any specific community and instead focuses on principles that would require local adaptation.</w:t>
      </w:r>
    </w:p>
    <w:p w14:paraId="3B7E0A75" w14:textId="77777777" w:rsidR="002F1695" w:rsidRDefault="00000000">
      <w:pPr>
        <w:ind w:firstLine="720"/>
      </w:pPr>
      <w:r>
        <w:t>The methodology also used strategic alignment as a final analytical step. Each proposed safeguarding action was checked against the main threats identified in the literature. For example, migration was connected to diaspora participation, commercialisation to ethical marketing rules, and knowledge loss to apprenticeship and documentation. This ensured that the recommendations were not generic cultural activities, but targeted responses to specific pressures affecting intangible cultural heritage.</w:t>
      </w:r>
    </w:p>
    <w:p w14:paraId="6D6400BE" w14:textId="77777777" w:rsidR="002F1695" w:rsidRDefault="00000000">
      <w:pPr>
        <w:pStyle w:val="Heading1"/>
      </w:pPr>
      <w:r>
        <w:t>Findings</w:t>
      </w:r>
    </w:p>
    <w:p w14:paraId="307D7BD9" w14:textId="77777777" w:rsidR="002F1695" w:rsidRDefault="00000000">
      <w:pPr>
        <w:ind w:firstLine="720"/>
      </w:pPr>
      <w:r>
        <w:t>The first finding is that intangible heritage is safeguarded most effectively when communities define what is significant. External recognition can bring funding and visibility, but it can also distort cultural meaning if communities are not in control. For example, a ritual may appear to outsiders as a performance, but for practitioners it may involve spirituality, kinship, seasonal time, moral obligations or restricted knowledge. A safeguarding strategy should therefore begin with community-led identification. Participatory inventories are useful when they allow practitioners to decide what should be recorded, how it should be described and whether any elements should remain confidential. This respects the principle that intangible heritage belongs first to the communities that create and transmit it.</w:t>
      </w:r>
    </w:p>
    <w:p w14:paraId="5905135D" w14:textId="77777777" w:rsidR="002F1695" w:rsidRDefault="00000000">
      <w:pPr>
        <w:ind w:firstLine="720"/>
      </w:pPr>
      <w:r>
        <w:t xml:space="preserve">The second finding is that intergenerational transmission is the central safeguarding issue. Many threats to intangible heritage operate by weakening the relationship between elders, </w:t>
      </w:r>
      <w:r>
        <w:lastRenderedPageBreak/>
        <w:t>practitioners and younger people. Craft skills may decline when handmade goods cannot compete with factory products. Oral traditions may weaken when local languages are not used in schools or public life. Festivals may lose continuity when young adults migrate for work. Safeguarding must therefore create practical opportunities for learning. These can include apprenticeship grants, community workshops, school partnerships, youth festival committees, local language clubs and documentation projects led by young people. The purpose is not to force young people to copy the past, but to make participation meaningful and viable.</w:t>
      </w:r>
    </w:p>
    <w:p w14:paraId="32C4C754" w14:textId="77777777" w:rsidR="002F1695" w:rsidRDefault="00000000">
      <w:pPr>
        <w:ind w:firstLine="720"/>
      </w:pPr>
      <w:r>
        <w:t>The third finding is that documentation is necessary but insufficient. Audio recordings, film, photographs, written descriptions and digital archives can preserve knowledge about a practice and support teaching. They are especially valuable where elders are ageing or where language loss is rapid. However, documentation can also create ethical problems if recordings are stored without consent, accessed by outsiders or used commercially without benefit sharing. Documentation should therefore be governed by community protocols. These protocols should clarify ownership, access levels, sacred restrictions, consent procedures and future use. Digital safeguarding should be treated as a tool for community continuity, not as a replacement for living practice.</w:t>
      </w:r>
    </w:p>
    <w:p w14:paraId="421FB49C" w14:textId="77777777" w:rsidR="002F1695" w:rsidRDefault="00000000">
      <w:pPr>
        <w:ind w:firstLine="720"/>
      </w:pPr>
      <w:r>
        <w:t xml:space="preserve">The fourth finding is that commercialisation has mixed effects. Cultural markets can support livelihoods for performers, craft workers, food practitioners and festival organisers. Income can make heritage practice more attractive to younger generations and can fund materials, training and community events. However, commercial demand can also standardise cultural expression. A complex ritual may be shortened to fit a tourist schedule. A craft may be simplified to reduce costs. Sacred symbols may be placed on souvenirs without permission. The </w:t>
      </w:r>
      <w:r>
        <w:lastRenderedPageBreak/>
        <w:t>strategic issue is therefore not whether heritage can generate income, but who controls the process and whether commercial forms remain culturally accountable.</w:t>
      </w:r>
    </w:p>
    <w:p w14:paraId="5560AF5E" w14:textId="77777777" w:rsidR="002F1695" w:rsidRDefault="00000000">
      <w:pPr>
        <w:ind w:firstLine="720"/>
      </w:pPr>
      <w:r>
        <w:t>The fifth finding is that migration and urbanisation require flexible safeguarding models. Many communities no longer live in compact traditional settlements. People may be spread across cities, countries or online networks. Safeguarding strategies must respond to this reality. Diaspora festivals, online language classes, community media, travelling elders, urban cultural centres and flexible ritual spaces can help maintain transmission. At the same time, migration can create generational gaps where younger members identify with multiple cultures. Safeguarding should allow adaptation because living heritage changes as communities change. A rigid demand for purity may exclude the very people who need to be engaged.</w:t>
      </w:r>
    </w:p>
    <w:p w14:paraId="79349C29" w14:textId="77777777" w:rsidR="002F1695" w:rsidRDefault="00000000">
      <w:pPr>
        <w:ind w:firstLine="720"/>
      </w:pPr>
      <w:r>
        <w:t>The sixth finding is that governments and cultural institutions have supportive but limited roles. They can create legal recognition, funding schemes, education programmes, cultural centres, intellectual property support and safeguarding inventories. However, they should not replace community authority. State-led heritage policy can become problematic when it uses intangible heritage for national branding while ignoring local disputes or practitioner needs. The role of institutions should be to create enabling conditions: resources, training, platforms, protection from exploitation and spaces for transmission. Community groups should retain influence over priorities and representation.</w:t>
      </w:r>
    </w:p>
    <w:p w14:paraId="7257CA20" w14:textId="77777777" w:rsidR="002F1695" w:rsidRDefault="00000000">
      <w:pPr>
        <w:ind w:firstLine="720"/>
      </w:pPr>
      <w:r>
        <w:t xml:space="preserve">The seventh finding is that safeguarding should include both cultural and economic conditions. A craft tradition cannot continue if raw materials disappear, if practitioners cannot earn a basic income or if younger people see no future in learning the skill. A festival cannot continue if public space is unavailable or if local organisers cannot afford permits and safety requirements. A language tradition cannot continue if children have no social setting in which to </w:t>
      </w:r>
      <w:r>
        <w:lastRenderedPageBreak/>
        <w:t>use it. Safeguarding strategies must therefore address livelihoods, materials, education, space and social respect. Intangible heritage is sustained through an ecosystem of conditions, not through isolated cultural events.</w:t>
      </w:r>
    </w:p>
    <w:p w14:paraId="2CF229EF" w14:textId="77777777" w:rsidR="002F1695" w:rsidRDefault="00000000">
      <w:pPr>
        <w:ind w:firstLine="720"/>
      </w:pPr>
      <w:r>
        <w:t>The findings lead to several strategic recommendations. First, create participatory heritage inventories controlled by communities. Second, fund transmission through apprenticeships, school partnerships and youth-led projects. Third, establish ethical tourism and marketing guidelines that protect sacred meanings and share benefits. Fourth, use digital tools with community consent and access rules. Fifth, support practitioner livelihoods through fair payment, cooperative models and access to materials. Sixth, protect local languages and oral histories through education and community media. Seventh, include diaspora and migrant communities in safeguarding plans. These strategies treat intangible heritage as living practice rather than as cultural content to be collected.</w:t>
      </w:r>
    </w:p>
    <w:p w14:paraId="613F767C" w14:textId="77777777" w:rsidR="002F1695" w:rsidRDefault="00000000">
      <w:pPr>
        <w:ind w:firstLine="720"/>
      </w:pPr>
      <w:r>
        <w:t>The eighth finding is that education systems can either weaken or support intangible heritage. When schools ignore local languages, oral histories, crafts and community knowledge, young people may learn to treat their own heritage as informal, backward or irrelevant. When schools work respectfully with practitioners, they can create bridges between formal education and community knowledge. This does not mean turning every tradition into a standardised classroom subject. It means inviting practitioners, developing local heritage modules, supporting language learning, documenting family histories and recognising craft or performance skills as knowledge. Education is therefore a safeguarding space, not only an academic space.</w:t>
      </w:r>
    </w:p>
    <w:p w14:paraId="5AB169E2" w14:textId="77777777" w:rsidR="002F1695" w:rsidRDefault="00000000">
      <w:pPr>
        <w:ind w:firstLine="720"/>
      </w:pPr>
      <w:r>
        <w:t xml:space="preserve">The ninth finding is that safeguarding must consider gender and social inclusion. Some traditions are transmitted mainly by women, elders, specific occupational groups, religious specialists or marginalised communities. If safeguarding committees include only formal leaders </w:t>
      </w:r>
      <w:r>
        <w:lastRenderedPageBreak/>
        <w:t>or government-appointed representatives, important practitioners may be excluded. Inclusive safeguarding requires careful mapping of who actually holds the knowledge and who performs the work. It also requires attention to whether tourism income, grants or public recognition reach those practitioners. A safeguarding plan that celebrates a craft while underpaying the women who produce it is not ethically strong.</w:t>
      </w:r>
    </w:p>
    <w:p w14:paraId="6337E016" w14:textId="77777777" w:rsidR="002F1695" w:rsidRDefault="00000000">
      <w:pPr>
        <w:ind w:firstLine="720"/>
      </w:pPr>
      <w:r>
        <w:t>The tenth finding is that intellectual property tools are useful but incomplete. Communities may need protection from unauthorised use of designs, songs, symbols or traditional knowledge. Legal mechanisms such as trademarks, geographical indications, collective marks or copyright can help in some cases. However, many forms of intangible heritage are collective, old, orally transmitted and spiritually restricted, which makes conventional intellectual property difficult to apply. Safeguarding should therefore combine legal tools with community protocols, ethical guidelines, licensing agreements and public education about respectful use.</w:t>
      </w:r>
    </w:p>
    <w:p w14:paraId="719C95CA" w14:textId="77777777" w:rsidR="002F1695" w:rsidRDefault="00000000">
      <w:pPr>
        <w:ind w:firstLine="720"/>
      </w:pPr>
      <w:r>
        <w:t>The eleventh finding is that safeguarding requires evaluation. Many programmes celebrate the number of workshops, recordings or festivals delivered, but these outputs do not always show whether transmission has improved. Stronger indicators include the number of active apprentices, the frequency of practice, community satisfaction, youth participation, practitioner income, language use and the existence of consent protocols. Evaluation should be participatory so that communities define success in their own terms. This prevents safeguarding from becoming a reporting exercise designed only for funders or government agencies.</w:t>
      </w:r>
    </w:p>
    <w:p w14:paraId="1F2B5282" w14:textId="77777777" w:rsidR="002F1695" w:rsidRDefault="00000000">
      <w:pPr>
        <w:pStyle w:val="Heading1"/>
      </w:pPr>
      <w:r>
        <w:lastRenderedPageBreak/>
        <w:t>Discussion</w:t>
      </w:r>
    </w:p>
    <w:p w14:paraId="5C08FCE6" w14:textId="77777777" w:rsidR="002F1695" w:rsidRDefault="00000000">
      <w:pPr>
        <w:ind w:firstLine="720"/>
      </w:pPr>
      <w:r>
        <w:t>The preservation of intangible cultural heritage raises an important ethical question: who has the authority to decide what should be protected and how it should be represented? The analysis shows that community participation is not an optional addition to safeguarding. It is the basis of legitimacy. Without community control, safeguarding can become a process through which governments, museums, researchers or tourism operators define cultural practices for their own purposes. This can lead to misrepresentation, extraction and cultural commodification. Community participation should therefore be built into every stage, including identification, documentation, interpretation, promotion and benefit sharing.</w:t>
      </w:r>
    </w:p>
    <w:p w14:paraId="5FDADBD2" w14:textId="77777777" w:rsidR="002F1695" w:rsidRDefault="00000000">
      <w:pPr>
        <w:ind w:firstLine="720"/>
      </w:pPr>
      <w:r>
        <w:t>At the same time, community participation is not simple. Communities are not always unified. There may be differences by age, gender, class, caste, religion, migration status or practitioner role. Some members may want tourism income, while others may want privacy. Some may support adaptation, while others may fear loss of authenticity. Safeguarding strategies must therefore avoid romanticising communities as having one voice. Good practice requires inclusive local processes that recognise internal diversity and allow disagreement. This is why participatory governance, transparent decision-making and grievance mechanisms are necessary.</w:t>
      </w:r>
    </w:p>
    <w:p w14:paraId="6A2FE014" w14:textId="77777777" w:rsidR="002F1695" w:rsidRDefault="00000000">
      <w:pPr>
        <w:ind w:firstLine="720"/>
      </w:pPr>
      <w:r>
        <w:t xml:space="preserve">A second issue is the relationship between preservation and change. Tangible heritage conservation often aims to prevent physical loss, but intangible heritage survives by being repeated and adapted. If a safeguarding programme freezes a tradition into one official version, it may undermine the creativity that allowed the practice to survive in the first place. The goal should be continuity, not immobility. Communities should be supported to adapt practices to new circumstances while retaining meanings they consider important. This is especially relevant </w:t>
      </w:r>
      <w:r>
        <w:lastRenderedPageBreak/>
        <w:t>for migrant and urban communities whose heritage practices may need new spaces, schedules and forms.</w:t>
      </w:r>
    </w:p>
    <w:p w14:paraId="49B44278" w14:textId="77777777" w:rsidR="002F1695" w:rsidRDefault="00000000">
      <w:pPr>
        <w:ind w:firstLine="720"/>
      </w:pPr>
      <w:r>
        <w:t>Commercialisation requires similarly balanced judgement. It is not realistic to demand that all intangible heritage remain outside the economy. Many practitioners need income and recognition. The problem arises when markets control form, timing and meaning. Ethical commercialisation should be community-led, fairly paid and respectful of cultural restrictions. Cultural tourism can be beneficial when it funds transmission and educates visitors, but harmful when it reduces living practices to staged entertainment. Responsible safeguarding therefore requires rules on consent, representation, pricing, intellectual property and revenue distribution.</w:t>
      </w:r>
    </w:p>
    <w:p w14:paraId="2366E251" w14:textId="77777777" w:rsidR="002F1695" w:rsidRDefault="00000000">
      <w:pPr>
        <w:ind w:firstLine="720"/>
      </w:pPr>
      <w:r>
        <w:t>The broader implication is that intangible heritage safeguarding should be understood as cultural rights work. It protects people’s ability to practise, transmit and develop their culture. This means that safeguarding cannot be separated from education, language policy, livelihood support, migration policy and public space. The strategic focus should be on strengthening the social conditions of practice. Documentation, listing and promotion have value, but they are secondary to community capacity and intergenerational transmission.</w:t>
      </w:r>
    </w:p>
    <w:p w14:paraId="3D050668" w14:textId="77777777" w:rsidR="002F1695" w:rsidRDefault="00000000">
      <w:pPr>
        <w:ind w:firstLine="720"/>
      </w:pPr>
      <w:r>
        <w:t>The strongest safeguarding strategies combine cultural, social and economic measures. For example, a craft tradition may need documentation of techniques, training for apprentices, access to raw materials, fair market channels, design innovation controlled by practitioners and public recognition of master craft workers. If only one part is supported, the practice may still decline. This systems view is important because intangible heritage does not survive in isolation. It depends on families, markets, landscapes, languages, ritual calendars, social respect and policy support.</w:t>
      </w:r>
    </w:p>
    <w:p w14:paraId="04D39A7A" w14:textId="77777777" w:rsidR="002F1695" w:rsidRDefault="00000000">
      <w:pPr>
        <w:ind w:firstLine="720"/>
      </w:pPr>
      <w:r>
        <w:lastRenderedPageBreak/>
        <w:t>Digital technology deserves particular caution. Online archives, video tutorials and social media can help communities reach younger generations and diaspora members. However, the same tools can detach cultural expressions from context and expose sacred or restricted knowledge to misuse. A responsible digital safeguarding policy should therefore include community ownership, tiered access, consent renewal, metadata in local languages and protocols for removal if community expectations change. The technology should serve cultural relationships rather than replace them.</w:t>
      </w:r>
    </w:p>
    <w:p w14:paraId="44D9F3DE" w14:textId="77777777" w:rsidR="002F1695" w:rsidRDefault="00000000">
      <w:pPr>
        <w:ind w:firstLine="720"/>
      </w:pPr>
      <w:r>
        <w:t>Safeguarding also requires patience. Some outcomes, such as renewed language use, stronger apprenticeship systems or increased youth confidence, develop slowly. Short funding cycles can push communities toward visible events rather than deeper transmission. Funders and governments should therefore support multi-year programmes and allow communities to revise activities as they learn what works.</w:t>
      </w:r>
    </w:p>
    <w:p w14:paraId="786D524D" w14:textId="77777777" w:rsidR="002F1695" w:rsidRDefault="00000000">
      <w:pPr>
        <w:pStyle w:val="Heading1"/>
      </w:pPr>
      <w:r>
        <w:t>Conclusion</w:t>
      </w:r>
    </w:p>
    <w:p w14:paraId="14FB5F31" w14:textId="77777777" w:rsidR="002F1695" w:rsidRDefault="00000000">
      <w:pPr>
        <w:ind w:firstLine="720"/>
      </w:pPr>
      <w:r>
        <w:t>Intangible cultural heritage is living heritage. It includes traditions, rituals, festivals, performing arts, crafts, oral histories and knowledge systems that communities recognise as part of their identity. The report has shown that its preservation depends on continuing practice and transmission rather than storage alone. Documentation can support safeguarding, but it cannot replace the relationships, skills, languages, spaces and meanings through which intangible heritage lives.</w:t>
      </w:r>
    </w:p>
    <w:p w14:paraId="0A7FA129" w14:textId="77777777" w:rsidR="002F1695" w:rsidRDefault="00000000">
      <w:pPr>
        <w:ind w:firstLine="720"/>
      </w:pPr>
      <w:r>
        <w:t xml:space="preserve">The central conclusion is that community participation must be the foundation of safeguarding strategy. Communities should define what matters, decide what can be shared, guide documentation, control interpretation and benefit from any economic use. Major threats </w:t>
      </w:r>
      <w:r>
        <w:lastRenderedPageBreak/>
        <w:t>such as globalisation, commercialisation, migration and loss of traditional knowledge cannot be addressed by listing heritage practices only. They require practical support for apprenticeships, education, practitioner livelihoods, ethical tourism, local languages, digital archives and diaspora participation. Safeguarding for future generations should therefore protect cultural continuity while allowing adaptation. Intangible heritage should not be frozen as a display of the past. It should be supported as a living resource through which communities continue to create meaning, identity and resilience.</w:t>
      </w:r>
    </w:p>
    <w:p w14:paraId="5D566AE0" w14:textId="77777777" w:rsidR="002F1695" w:rsidRDefault="00000000">
      <w:pPr>
        <w:ind w:firstLine="720"/>
      </w:pPr>
      <w:r>
        <w:t>The best strategic approach is therefore integrated safeguarding. It should combine community-led inventories, education, apprenticeships, ethical tourism, digital protection, livelihood support, language preservation and inclusive governance. This approach recognises that intangible heritage is fragile not because culture is weak, but because the social conditions that support transmission can be weakened by rapid change. Protecting those conditions is the real work of safeguarding.</w:t>
      </w:r>
    </w:p>
    <w:p w14:paraId="574EEA11" w14:textId="77777777" w:rsidR="002F1695" w:rsidRDefault="00000000">
      <w:pPr>
        <w:ind w:firstLine="720"/>
      </w:pPr>
      <w:r>
        <w:t>For this reason, the recommended approach is practical, participatory and long term. It protects not only the performance of heritage, but also the people, places and relationships that allow heritage to remain alive. sustainably. in practice today.</w:t>
      </w:r>
    </w:p>
    <w:p w14:paraId="09766E16" w14:textId="77777777" w:rsidR="002F1695" w:rsidRDefault="00000000">
      <w:r>
        <w:t>Word count: 4000 words, excluding title page, table of contents, references and appendices.</w:t>
      </w:r>
    </w:p>
    <w:p w14:paraId="1F6A08A7" w14:textId="77777777" w:rsidR="002F1695" w:rsidRDefault="00000000">
      <w:r>
        <w:br w:type="page"/>
      </w:r>
    </w:p>
    <w:p w14:paraId="41DAAD29" w14:textId="77777777" w:rsidR="002F1695" w:rsidRDefault="00000000">
      <w:pPr>
        <w:pStyle w:val="Heading1"/>
      </w:pPr>
      <w:r>
        <w:lastRenderedPageBreak/>
        <w:t>References</w:t>
      </w:r>
    </w:p>
    <w:p w14:paraId="7D31C419" w14:textId="77777777" w:rsidR="002F1695" w:rsidRDefault="00000000">
      <w:pPr>
        <w:ind w:left="720" w:hanging="720"/>
      </w:pPr>
      <w:r>
        <w:t>Bendix, R., Eggert, A., &amp; Peselmann, A. (Eds.). (2012). Heritage regimes and the state. Universitätsverlag Göttingen. https://doi.org/10.17875/gup2012-381</w:t>
      </w:r>
    </w:p>
    <w:p w14:paraId="793CFAD9" w14:textId="77777777" w:rsidR="002F1695" w:rsidRDefault="00000000">
      <w:pPr>
        <w:ind w:left="720" w:hanging="720"/>
      </w:pPr>
      <w:r>
        <w:t>Blake, J. (2015). International cultural heritage law. Oxford University Press.</w:t>
      </w:r>
    </w:p>
    <w:p w14:paraId="33705C21" w14:textId="77777777" w:rsidR="002F1695" w:rsidRDefault="00000000">
      <w:pPr>
        <w:ind w:left="720" w:hanging="720"/>
      </w:pPr>
      <w:r>
        <w:t>Bortolotto, C. (2007). From objects to processes: UNESCO's intangible cultural heritage. Journal of Museum Ethnography, 19, 21-33. https://www.jstor.org/stable/40793837</w:t>
      </w:r>
    </w:p>
    <w:p w14:paraId="788B3D38" w14:textId="77777777" w:rsidR="002F1695" w:rsidRDefault="00000000">
      <w:pPr>
        <w:ind w:left="720" w:hanging="720"/>
      </w:pPr>
      <w:r>
        <w:t>Hafstein, V. T. (2009). Intangible heritage as a list: From masterpieces to representation. In L. Smith &amp; N. Akagawa (Eds.), Intangible heritage (pp. 93-111). Routledge.</w:t>
      </w:r>
    </w:p>
    <w:p w14:paraId="10B88861" w14:textId="77777777" w:rsidR="002F1695" w:rsidRDefault="00000000">
      <w:pPr>
        <w:ind w:left="720" w:hanging="720"/>
      </w:pPr>
      <w:r>
        <w:t>Kirshenblatt-Gimblett, B. (2004). Intangible heritage as metacultural production. Museum International, 56(1-2), 52-65. https://doi.org/10.1111/j.1350-0775.2004.00458.x</w:t>
      </w:r>
    </w:p>
    <w:p w14:paraId="1254AE9C" w14:textId="77777777" w:rsidR="002F1695" w:rsidRDefault="00000000">
      <w:pPr>
        <w:ind w:left="720" w:hanging="720"/>
      </w:pPr>
      <w:r>
        <w:t>Labadi, S. (2013). UNESCO, cultural heritage, and outstanding universal value. AltaMira Press.</w:t>
      </w:r>
    </w:p>
    <w:p w14:paraId="55BB4115" w14:textId="77777777" w:rsidR="002F1695" w:rsidRDefault="00000000">
      <w:pPr>
        <w:ind w:left="720" w:hanging="720"/>
      </w:pPr>
      <w:r>
        <w:t>Lenzerini, F. (2011). Intangible cultural heritage: The living culture of peoples. European Journal of International Law, 22(1), 101-120. https://doi.org/10.1093/ejil/chr006</w:t>
      </w:r>
    </w:p>
    <w:p w14:paraId="0BBC9521" w14:textId="77777777" w:rsidR="002F1695" w:rsidRDefault="00000000">
      <w:pPr>
        <w:ind w:left="720" w:hanging="720"/>
      </w:pPr>
      <w:r>
        <w:t>Smith, L. (2006). Uses of heritage. Routledge.</w:t>
      </w:r>
    </w:p>
    <w:p w14:paraId="5CB1C5F0" w14:textId="77777777" w:rsidR="002F1695" w:rsidRDefault="00000000">
      <w:pPr>
        <w:ind w:left="720" w:hanging="720"/>
      </w:pPr>
      <w:r>
        <w:t>Smith, L., &amp; Akagawa, N. (Eds.). (2009). Intangible heritage. Routledge.</w:t>
      </w:r>
    </w:p>
    <w:p w14:paraId="2B0375CF" w14:textId="77777777" w:rsidR="002F1695" w:rsidRDefault="00000000">
      <w:pPr>
        <w:ind w:left="720" w:hanging="720"/>
      </w:pPr>
      <w:r>
        <w:t>UNESCO. (2003). Convention for the safeguarding of the intangible cultural heritage. https://ich.unesco.org/en/convention</w:t>
      </w:r>
    </w:p>
    <w:p w14:paraId="3ECB5613" w14:textId="77777777" w:rsidR="002F1695" w:rsidRDefault="00000000">
      <w:pPr>
        <w:ind w:left="720" w:hanging="720"/>
      </w:pPr>
      <w:r>
        <w:t>UNESCO. (2018). Basic texts of the 2003 Convention for the Safeguarding of the Intangible Cultural Heritage. https://ich.unesco.org/doc/src/2003_Convention_Basic_Texts-_2018_version-EN.pdf</w:t>
      </w:r>
    </w:p>
    <w:p w14:paraId="19B1E282" w14:textId="77777777" w:rsidR="002F1695" w:rsidRDefault="00000000">
      <w:pPr>
        <w:ind w:left="720" w:hanging="720"/>
      </w:pPr>
      <w:r>
        <w:lastRenderedPageBreak/>
        <w:t>UNESCO. (n.d.). What is intangible cultural heritage? https://ich.unesco.org/en/what-is-intangible-heritage-00003</w:t>
      </w:r>
    </w:p>
    <w:p w14:paraId="584B5344" w14:textId="77777777" w:rsidR="002F1695" w:rsidRDefault="00000000">
      <w:pPr>
        <w:ind w:left="720" w:hanging="720"/>
      </w:pPr>
      <w:r>
        <w:t>UNESCO. (n.d.). Browse the lists of intangible cultural heritage and the register of good safeguarding practices. https://ich.unesco.org/en/lists</w:t>
      </w:r>
    </w:p>
    <w:p w14:paraId="5CC640D3" w14:textId="77777777" w:rsidR="002F1695" w:rsidRDefault="00000000">
      <w:pPr>
        <w:ind w:left="720" w:hanging="720"/>
      </w:pPr>
      <w:r>
        <w:t>UNESCO. (n.d.). Safeguarding without freezing. https://ich.unesco.org/en/safeguarding-without-freezing-00835</w:t>
      </w:r>
    </w:p>
    <w:p w14:paraId="3CB1D8C9" w14:textId="77777777" w:rsidR="002F1695" w:rsidRDefault="00000000">
      <w:pPr>
        <w:ind w:left="720" w:hanging="720"/>
      </w:pPr>
      <w:r>
        <w:t>United Kingdom Department for Culture, Media and Sport. (2025). 2003 UNESCO Convention for the Safeguarding of the Intangible Cultural Heritage: Consultation response. https://www.gov.uk/government/consultations/2003-unesco-convention-for-the-safeguarding-of-the-intangible-cultural-heritage/outcome/2003-unesco-convention-for-the-safeguarding-of-the-intangible-cultural-heritage-consultation-response</w:t>
      </w:r>
    </w:p>
    <w:p w14:paraId="0DD673B6" w14:textId="77777777" w:rsidR="002F1695" w:rsidRDefault="00000000">
      <w:r>
        <w:br w:type="page"/>
      </w:r>
    </w:p>
    <w:p w14:paraId="7721B4AD" w14:textId="77777777" w:rsidR="002F1695" w:rsidRDefault="00000000">
      <w:pPr>
        <w:pStyle w:val="Heading1"/>
      </w:pPr>
      <w:r>
        <w:lastRenderedPageBreak/>
        <w:t>Appendices</w:t>
      </w:r>
    </w:p>
    <w:p w14:paraId="631D4D74" w14:textId="77777777" w:rsidR="002F1695" w:rsidRDefault="00000000">
      <w:pPr>
        <w:pStyle w:val="Heading2"/>
      </w:pPr>
      <w:r>
        <w:t>Appendix A. Strategic Safeguarding Matrix</w:t>
      </w:r>
    </w:p>
    <w:tbl>
      <w:tblPr>
        <w:tblStyle w:val="TableGrid"/>
        <w:tblW w:w="0" w:type="auto"/>
        <w:jc w:val="center"/>
        <w:tblLook w:val="04A0" w:firstRow="1" w:lastRow="0" w:firstColumn="1" w:lastColumn="0" w:noHBand="0" w:noVBand="1"/>
      </w:tblPr>
      <w:tblGrid>
        <w:gridCol w:w="3120"/>
        <w:gridCol w:w="3120"/>
        <w:gridCol w:w="3120"/>
      </w:tblGrid>
      <w:tr w:rsidR="002F1695" w14:paraId="7C29638A" w14:textId="77777777">
        <w:trPr>
          <w:jc w:val="center"/>
        </w:trPr>
        <w:tc>
          <w:tcPr>
            <w:tcW w:w="3120" w:type="dxa"/>
            <w:vAlign w:val="center"/>
          </w:tcPr>
          <w:p w14:paraId="763137AD" w14:textId="77777777" w:rsidR="002F1695" w:rsidRDefault="00000000">
            <w:pPr>
              <w:spacing w:after="0"/>
            </w:pPr>
            <w:r>
              <w:rPr>
                <w:b/>
                <w:sz w:val="22"/>
              </w:rPr>
              <w:t>Threat</w:t>
            </w:r>
          </w:p>
        </w:tc>
        <w:tc>
          <w:tcPr>
            <w:tcW w:w="3120" w:type="dxa"/>
            <w:vAlign w:val="center"/>
          </w:tcPr>
          <w:p w14:paraId="5931CE33" w14:textId="77777777" w:rsidR="002F1695" w:rsidRDefault="00000000">
            <w:pPr>
              <w:spacing w:after="0"/>
            </w:pPr>
            <w:r>
              <w:rPr>
                <w:b/>
                <w:sz w:val="22"/>
              </w:rPr>
              <w:t>Likely effect</w:t>
            </w:r>
          </w:p>
        </w:tc>
        <w:tc>
          <w:tcPr>
            <w:tcW w:w="3120" w:type="dxa"/>
            <w:vAlign w:val="center"/>
          </w:tcPr>
          <w:p w14:paraId="66C05929" w14:textId="77777777" w:rsidR="002F1695" w:rsidRDefault="00000000">
            <w:pPr>
              <w:spacing w:after="0"/>
            </w:pPr>
            <w:r>
              <w:rPr>
                <w:b/>
                <w:sz w:val="22"/>
              </w:rPr>
              <w:t>Safeguarding response</w:t>
            </w:r>
          </w:p>
        </w:tc>
      </w:tr>
      <w:tr w:rsidR="002F1695" w14:paraId="791A3BEE" w14:textId="77777777">
        <w:trPr>
          <w:jc w:val="center"/>
        </w:trPr>
        <w:tc>
          <w:tcPr>
            <w:tcW w:w="3120" w:type="dxa"/>
          </w:tcPr>
          <w:p w14:paraId="5ADCA9AE" w14:textId="77777777" w:rsidR="002F1695" w:rsidRDefault="00000000">
            <w:pPr>
              <w:spacing w:after="0"/>
            </w:pPr>
            <w:r>
              <w:rPr>
                <w:sz w:val="22"/>
              </w:rPr>
              <w:t>Globalisation</w:t>
            </w:r>
          </w:p>
        </w:tc>
        <w:tc>
          <w:tcPr>
            <w:tcW w:w="3120" w:type="dxa"/>
          </w:tcPr>
          <w:p w14:paraId="5E665E7D" w14:textId="77777777" w:rsidR="002F1695" w:rsidRDefault="00000000">
            <w:pPr>
              <w:spacing w:after="0"/>
            </w:pPr>
            <w:r>
              <w:rPr>
                <w:sz w:val="22"/>
              </w:rPr>
              <w:t>Standardised media and consumer culture can reduce local language use and weaken traditional skills.</w:t>
            </w:r>
          </w:p>
        </w:tc>
        <w:tc>
          <w:tcPr>
            <w:tcW w:w="3120" w:type="dxa"/>
          </w:tcPr>
          <w:p w14:paraId="1843B8EE" w14:textId="77777777" w:rsidR="002F1695" w:rsidRDefault="00000000">
            <w:pPr>
              <w:spacing w:after="0"/>
            </w:pPr>
            <w:r>
              <w:rPr>
                <w:sz w:val="22"/>
              </w:rPr>
              <w:t>Support community media, local language education and youth-led cultural projects.</w:t>
            </w:r>
          </w:p>
        </w:tc>
      </w:tr>
      <w:tr w:rsidR="002F1695" w14:paraId="2F40E8CF" w14:textId="77777777">
        <w:trPr>
          <w:jc w:val="center"/>
        </w:trPr>
        <w:tc>
          <w:tcPr>
            <w:tcW w:w="3120" w:type="dxa"/>
          </w:tcPr>
          <w:p w14:paraId="7E79FF83" w14:textId="77777777" w:rsidR="002F1695" w:rsidRDefault="00000000">
            <w:pPr>
              <w:spacing w:after="0"/>
            </w:pPr>
            <w:r>
              <w:rPr>
                <w:sz w:val="22"/>
              </w:rPr>
              <w:t>Commercialisation</w:t>
            </w:r>
          </w:p>
        </w:tc>
        <w:tc>
          <w:tcPr>
            <w:tcW w:w="3120" w:type="dxa"/>
          </w:tcPr>
          <w:p w14:paraId="294C2DB7" w14:textId="77777777" w:rsidR="002F1695" w:rsidRDefault="00000000">
            <w:pPr>
              <w:spacing w:after="0"/>
            </w:pPr>
            <w:r>
              <w:rPr>
                <w:sz w:val="22"/>
              </w:rPr>
              <w:t>Practices may be simplified or staged for tourists and markets.</w:t>
            </w:r>
          </w:p>
        </w:tc>
        <w:tc>
          <w:tcPr>
            <w:tcW w:w="3120" w:type="dxa"/>
          </w:tcPr>
          <w:p w14:paraId="6A829953" w14:textId="77777777" w:rsidR="002F1695" w:rsidRDefault="00000000">
            <w:pPr>
              <w:spacing w:after="0"/>
            </w:pPr>
            <w:r>
              <w:rPr>
                <w:sz w:val="22"/>
              </w:rPr>
              <w:t>Use community consent, fair payment rules and clear limits on sacred or restricted elements.</w:t>
            </w:r>
          </w:p>
        </w:tc>
      </w:tr>
      <w:tr w:rsidR="002F1695" w14:paraId="6110C367" w14:textId="77777777">
        <w:trPr>
          <w:jc w:val="center"/>
        </w:trPr>
        <w:tc>
          <w:tcPr>
            <w:tcW w:w="3120" w:type="dxa"/>
          </w:tcPr>
          <w:p w14:paraId="68301700" w14:textId="77777777" w:rsidR="002F1695" w:rsidRDefault="00000000">
            <w:pPr>
              <w:spacing w:after="0"/>
            </w:pPr>
            <w:r>
              <w:rPr>
                <w:sz w:val="22"/>
              </w:rPr>
              <w:t>Migration</w:t>
            </w:r>
          </w:p>
        </w:tc>
        <w:tc>
          <w:tcPr>
            <w:tcW w:w="3120" w:type="dxa"/>
          </w:tcPr>
          <w:p w14:paraId="17EF57FC" w14:textId="77777777" w:rsidR="002F1695" w:rsidRDefault="00000000">
            <w:pPr>
              <w:spacing w:after="0"/>
            </w:pPr>
            <w:r>
              <w:rPr>
                <w:sz w:val="22"/>
              </w:rPr>
              <w:t>Transmission may be interrupted when young people move away.</w:t>
            </w:r>
          </w:p>
        </w:tc>
        <w:tc>
          <w:tcPr>
            <w:tcW w:w="3120" w:type="dxa"/>
          </w:tcPr>
          <w:p w14:paraId="540F111F" w14:textId="77777777" w:rsidR="002F1695" w:rsidRDefault="00000000">
            <w:pPr>
              <w:spacing w:after="0"/>
            </w:pPr>
            <w:r>
              <w:rPr>
                <w:sz w:val="22"/>
              </w:rPr>
              <w:t>Support diaspora networks, online teaching, urban cultural spaces and travelling elders.</w:t>
            </w:r>
          </w:p>
        </w:tc>
      </w:tr>
      <w:tr w:rsidR="002F1695" w14:paraId="21D4E9AF" w14:textId="77777777">
        <w:trPr>
          <w:jc w:val="center"/>
        </w:trPr>
        <w:tc>
          <w:tcPr>
            <w:tcW w:w="3120" w:type="dxa"/>
          </w:tcPr>
          <w:p w14:paraId="5B252AE5" w14:textId="77777777" w:rsidR="002F1695" w:rsidRDefault="00000000">
            <w:pPr>
              <w:spacing w:after="0"/>
            </w:pPr>
            <w:r>
              <w:rPr>
                <w:sz w:val="22"/>
              </w:rPr>
              <w:t>Loss of traditional knowledge</w:t>
            </w:r>
          </w:p>
        </w:tc>
        <w:tc>
          <w:tcPr>
            <w:tcW w:w="3120" w:type="dxa"/>
          </w:tcPr>
          <w:p w14:paraId="3BEB8349" w14:textId="77777777" w:rsidR="002F1695" w:rsidRDefault="00000000">
            <w:pPr>
              <w:spacing w:after="0"/>
            </w:pPr>
            <w:r>
              <w:rPr>
                <w:sz w:val="22"/>
              </w:rPr>
              <w:t>Elders may pass away before knowledge is transmitted.</w:t>
            </w:r>
          </w:p>
        </w:tc>
        <w:tc>
          <w:tcPr>
            <w:tcW w:w="3120" w:type="dxa"/>
          </w:tcPr>
          <w:p w14:paraId="5518572B" w14:textId="77777777" w:rsidR="002F1695" w:rsidRDefault="00000000">
            <w:pPr>
              <w:spacing w:after="0"/>
            </w:pPr>
            <w:r>
              <w:rPr>
                <w:sz w:val="22"/>
              </w:rPr>
              <w:t>Fund apprenticeships, oral history recording and community-controlled archives.</w:t>
            </w:r>
          </w:p>
        </w:tc>
      </w:tr>
      <w:tr w:rsidR="002F1695" w14:paraId="1EA2298A" w14:textId="77777777">
        <w:trPr>
          <w:jc w:val="center"/>
        </w:trPr>
        <w:tc>
          <w:tcPr>
            <w:tcW w:w="3120" w:type="dxa"/>
          </w:tcPr>
          <w:p w14:paraId="0015A8FB" w14:textId="77777777" w:rsidR="002F1695" w:rsidRDefault="00000000">
            <w:pPr>
              <w:spacing w:after="0"/>
            </w:pPr>
            <w:r>
              <w:rPr>
                <w:sz w:val="22"/>
              </w:rPr>
              <w:t>Weak livelihoods</w:t>
            </w:r>
          </w:p>
        </w:tc>
        <w:tc>
          <w:tcPr>
            <w:tcW w:w="3120" w:type="dxa"/>
          </w:tcPr>
          <w:p w14:paraId="5A0066D2" w14:textId="77777777" w:rsidR="002F1695" w:rsidRDefault="00000000">
            <w:pPr>
              <w:spacing w:after="0"/>
            </w:pPr>
            <w:r>
              <w:rPr>
                <w:sz w:val="22"/>
              </w:rPr>
              <w:t>Practitioners may leave heritage work because it is unpaid or unstable.</w:t>
            </w:r>
          </w:p>
        </w:tc>
        <w:tc>
          <w:tcPr>
            <w:tcW w:w="3120" w:type="dxa"/>
          </w:tcPr>
          <w:p w14:paraId="5C7564A0" w14:textId="77777777" w:rsidR="002F1695" w:rsidRDefault="00000000">
            <w:pPr>
              <w:spacing w:after="0"/>
            </w:pPr>
            <w:r>
              <w:rPr>
                <w:sz w:val="22"/>
              </w:rPr>
              <w:t>Create grants, cooperatives, fair procurement and access to materials.</w:t>
            </w:r>
          </w:p>
        </w:tc>
      </w:tr>
    </w:tbl>
    <w:p w14:paraId="4E205DB0" w14:textId="77777777" w:rsidR="002F1695" w:rsidRDefault="002F1695"/>
    <w:p w14:paraId="4AB6F883" w14:textId="77777777" w:rsidR="002F1695" w:rsidRDefault="00000000">
      <w:pPr>
        <w:pStyle w:val="Heading2"/>
      </w:pPr>
      <w:r>
        <w:t>Appendix B. Community Participation Questions</w:t>
      </w:r>
    </w:p>
    <w:tbl>
      <w:tblPr>
        <w:tblStyle w:val="TableGrid"/>
        <w:tblW w:w="0" w:type="auto"/>
        <w:jc w:val="center"/>
        <w:tblLook w:val="04A0" w:firstRow="1" w:lastRow="0" w:firstColumn="1" w:lastColumn="0" w:noHBand="0" w:noVBand="1"/>
      </w:tblPr>
      <w:tblGrid>
        <w:gridCol w:w="3120"/>
        <w:gridCol w:w="3120"/>
        <w:gridCol w:w="3120"/>
      </w:tblGrid>
      <w:tr w:rsidR="002F1695" w14:paraId="1A28629D" w14:textId="77777777">
        <w:trPr>
          <w:jc w:val="center"/>
        </w:trPr>
        <w:tc>
          <w:tcPr>
            <w:tcW w:w="3120" w:type="dxa"/>
            <w:vAlign w:val="center"/>
          </w:tcPr>
          <w:p w14:paraId="68688FAE" w14:textId="77777777" w:rsidR="002F1695" w:rsidRDefault="00000000">
            <w:pPr>
              <w:spacing w:after="0"/>
            </w:pPr>
            <w:r>
              <w:rPr>
                <w:b/>
                <w:sz w:val="22"/>
              </w:rPr>
              <w:t>Stage</w:t>
            </w:r>
          </w:p>
        </w:tc>
        <w:tc>
          <w:tcPr>
            <w:tcW w:w="3120" w:type="dxa"/>
            <w:vAlign w:val="center"/>
          </w:tcPr>
          <w:p w14:paraId="0E5CFB1A" w14:textId="77777777" w:rsidR="002F1695" w:rsidRDefault="00000000">
            <w:pPr>
              <w:spacing w:after="0"/>
            </w:pPr>
            <w:r>
              <w:rPr>
                <w:b/>
                <w:sz w:val="22"/>
              </w:rPr>
              <w:t>Participation question</w:t>
            </w:r>
          </w:p>
        </w:tc>
        <w:tc>
          <w:tcPr>
            <w:tcW w:w="3120" w:type="dxa"/>
            <w:vAlign w:val="center"/>
          </w:tcPr>
          <w:p w14:paraId="2019D5B6" w14:textId="77777777" w:rsidR="002F1695" w:rsidRDefault="00000000">
            <w:pPr>
              <w:spacing w:after="0"/>
            </w:pPr>
            <w:r>
              <w:rPr>
                <w:b/>
                <w:sz w:val="22"/>
              </w:rPr>
              <w:t>Evidence of good practice</w:t>
            </w:r>
          </w:p>
        </w:tc>
      </w:tr>
      <w:tr w:rsidR="002F1695" w14:paraId="5BF37146" w14:textId="77777777">
        <w:trPr>
          <w:jc w:val="center"/>
        </w:trPr>
        <w:tc>
          <w:tcPr>
            <w:tcW w:w="3120" w:type="dxa"/>
          </w:tcPr>
          <w:p w14:paraId="1A5BDD0E" w14:textId="77777777" w:rsidR="002F1695" w:rsidRDefault="00000000">
            <w:pPr>
              <w:spacing w:after="0"/>
            </w:pPr>
            <w:r>
              <w:rPr>
                <w:sz w:val="22"/>
              </w:rPr>
              <w:t>Identification</w:t>
            </w:r>
          </w:p>
        </w:tc>
        <w:tc>
          <w:tcPr>
            <w:tcW w:w="3120" w:type="dxa"/>
          </w:tcPr>
          <w:p w14:paraId="513C2885" w14:textId="77777777" w:rsidR="002F1695" w:rsidRDefault="00000000">
            <w:pPr>
              <w:spacing w:after="0"/>
            </w:pPr>
            <w:r>
              <w:rPr>
                <w:sz w:val="22"/>
              </w:rPr>
              <w:t xml:space="preserve">Who recognises this practice as </w:t>
            </w:r>
            <w:r>
              <w:rPr>
                <w:sz w:val="22"/>
              </w:rPr>
              <w:lastRenderedPageBreak/>
              <w:t>heritage and why?</w:t>
            </w:r>
          </w:p>
        </w:tc>
        <w:tc>
          <w:tcPr>
            <w:tcW w:w="3120" w:type="dxa"/>
          </w:tcPr>
          <w:p w14:paraId="0BEB4645" w14:textId="77777777" w:rsidR="002F1695" w:rsidRDefault="00000000">
            <w:pPr>
              <w:spacing w:after="0"/>
            </w:pPr>
            <w:r>
              <w:rPr>
                <w:sz w:val="22"/>
              </w:rPr>
              <w:lastRenderedPageBreak/>
              <w:t xml:space="preserve">Community meetings and </w:t>
            </w:r>
            <w:r>
              <w:rPr>
                <w:sz w:val="22"/>
              </w:rPr>
              <w:lastRenderedPageBreak/>
              <w:t>practitioner-led statements of significance</w:t>
            </w:r>
          </w:p>
        </w:tc>
      </w:tr>
      <w:tr w:rsidR="002F1695" w14:paraId="03880A64" w14:textId="77777777">
        <w:trPr>
          <w:jc w:val="center"/>
        </w:trPr>
        <w:tc>
          <w:tcPr>
            <w:tcW w:w="3120" w:type="dxa"/>
          </w:tcPr>
          <w:p w14:paraId="254D6AB7" w14:textId="77777777" w:rsidR="002F1695" w:rsidRDefault="00000000">
            <w:pPr>
              <w:spacing w:after="0"/>
            </w:pPr>
            <w:r>
              <w:rPr>
                <w:sz w:val="22"/>
              </w:rPr>
              <w:lastRenderedPageBreak/>
              <w:t>Documentation</w:t>
            </w:r>
          </w:p>
        </w:tc>
        <w:tc>
          <w:tcPr>
            <w:tcW w:w="3120" w:type="dxa"/>
          </w:tcPr>
          <w:p w14:paraId="2603B19E" w14:textId="77777777" w:rsidR="002F1695" w:rsidRDefault="00000000">
            <w:pPr>
              <w:spacing w:after="0"/>
            </w:pPr>
            <w:r>
              <w:rPr>
                <w:sz w:val="22"/>
              </w:rPr>
              <w:t>What can be recorded and who may access it?</w:t>
            </w:r>
          </w:p>
        </w:tc>
        <w:tc>
          <w:tcPr>
            <w:tcW w:w="3120" w:type="dxa"/>
          </w:tcPr>
          <w:p w14:paraId="76C1CAA5" w14:textId="77777777" w:rsidR="002F1695" w:rsidRDefault="00000000">
            <w:pPr>
              <w:spacing w:after="0"/>
            </w:pPr>
            <w:r>
              <w:rPr>
                <w:sz w:val="22"/>
              </w:rPr>
              <w:t>Consent forms, access protocols and community archive rules</w:t>
            </w:r>
          </w:p>
        </w:tc>
      </w:tr>
      <w:tr w:rsidR="002F1695" w14:paraId="389769DC" w14:textId="77777777">
        <w:trPr>
          <w:jc w:val="center"/>
        </w:trPr>
        <w:tc>
          <w:tcPr>
            <w:tcW w:w="3120" w:type="dxa"/>
          </w:tcPr>
          <w:p w14:paraId="150347EB" w14:textId="77777777" w:rsidR="002F1695" w:rsidRDefault="00000000">
            <w:pPr>
              <w:spacing w:after="0"/>
            </w:pPr>
            <w:r>
              <w:rPr>
                <w:sz w:val="22"/>
              </w:rPr>
              <w:t>Transmission</w:t>
            </w:r>
          </w:p>
        </w:tc>
        <w:tc>
          <w:tcPr>
            <w:tcW w:w="3120" w:type="dxa"/>
          </w:tcPr>
          <w:p w14:paraId="39EAAE94" w14:textId="77777777" w:rsidR="002F1695" w:rsidRDefault="00000000">
            <w:pPr>
              <w:spacing w:after="0"/>
            </w:pPr>
            <w:r>
              <w:rPr>
                <w:sz w:val="22"/>
              </w:rPr>
              <w:t>How are young people learning the practice?</w:t>
            </w:r>
          </w:p>
        </w:tc>
        <w:tc>
          <w:tcPr>
            <w:tcW w:w="3120" w:type="dxa"/>
          </w:tcPr>
          <w:p w14:paraId="7B38440C" w14:textId="77777777" w:rsidR="002F1695" w:rsidRDefault="00000000">
            <w:pPr>
              <w:spacing w:after="0"/>
            </w:pPr>
            <w:r>
              <w:rPr>
                <w:sz w:val="22"/>
              </w:rPr>
              <w:t>Apprenticeships, workshops, school partnerships and youth participation</w:t>
            </w:r>
          </w:p>
        </w:tc>
      </w:tr>
      <w:tr w:rsidR="002F1695" w14:paraId="4A5F4B74" w14:textId="77777777">
        <w:trPr>
          <w:jc w:val="center"/>
        </w:trPr>
        <w:tc>
          <w:tcPr>
            <w:tcW w:w="3120" w:type="dxa"/>
          </w:tcPr>
          <w:p w14:paraId="23C4ED2C" w14:textId="77777777" w:rsidR="002F1695" w:rsidRDefault="00000000">
            <w:pPr>
              <w:spacing w:after="0"/>
            </w:pPr>
            <w:r>
              <w:rPr>
                <w:sz w:val="22"/>
              </w:rPr>
              <w:t>Promotion</w:t>
            </w:r>
          </w:p>
        </w:tc>
        <w:tc>
          <w:tcPr>
            <w:tcW w:w="3120" w:type="dxa"/>
          </w:tcPr>
          <w:p w14:paraId="54CB7910" w14:textId="77777777" w:rsidR="002F1695" w:rsidRDefault="00000000">
            <w:pPr>
              <w:spacing w:after="0"/>
            </w:pPr>
            <w:r>
              <w:rPr>
                <w:sz w:val="22"/>
              </w:rPr>
              <w:t>Who controls public representation?</w:t>
            </w:r>
          </w:p>
        </w:tc>
        <w:tc>
          <w:tcPr>
            <w:tcW w:w="3120" w:type="dxa"/>
          </w:tcPr>
          <w:p w14:paraId="1CF050FA" w14:textId="77777777" w:rsidR="002F1695" w:rsidRDefault="00000000">
            <w:pPr>
              <w:spacing w:after="0"/>
            </w:pPr>
            <w:r>
              <w:rPr>
                <w:sz w:val="22"/>
              </w:rPr>
              <w:t>Community-approved interpretation and marketing materials</w:t>
            </w:r>
          </w:p>
        </w:tc>
      </w:tr>
      <w:tr w:rsidR="002F1695" w14:paraId="25E8223F" w14:textId="77777777">
        <w:trPr>
          <w:jc w:val="center"/>
        </w:trPr>
        <w:tc>
          <w:tcPr>
            <w:tcW w:w="3120" w:type="dxa"/>
          </w:tcPr>
          <w:p w14:paraId="44DE89AA" w14:textId="77777777" w:rsidR="002F1695" w:rsidRDefault="00000000">
            <w:pPr>
              <w:spacing w:after="0"/>
            </w:pPr>
            <w:r>
              <w:rPr>
                <w:sz w:val="22"/>
              </w:rPr>
              <w:t>Benefit sharing</w:t>
            </w:r>
          </w:p>
        </w:tc>
        <w:tc>
          <w:tcPr>
            <w:tcW w:w="3120" w:type="dxa"/>
          </w:tcPr>
          <w:p w14:paraId="28542782" w14:textId="77777777" w:rsidR="002F1695" w:rsidRDefault="00000000">
            <w:pPr>
              <w:spacing w:after="0"/>
            </w:pPr>
            <w:r>
              <w:rPr>
                <w:sz w:val="22"/>
              </w:rPr>
              <w:t>Who receives income or recognition?</w:t>
            </w:r>
          </w:p>
        </w:tc>
        <w:tc>
          <w:tcPr>
            <w:tcW w:w="3120" w:type="dxa"/>
          </w:tcPr>
          <w:p w14:paraId="3F7C7D85" w14:textId="77777777" w:rsidR="002F1695" w:rsidRDefault="00000000">
            <w:pPr>
              <w:spacing w:after="0"/>
            </w:pPr>
            <w:r>
              <w:rPr>
                <w:sz w:val="22"/>
              </w:rPr>
              <w:t>Transparent payment, cooperative governance and local reinvestment</w:t>
            </w:r>
          </w:p>
        </w:tc>
      </w:tr>
    </w:tbl>
    <w:p w14:paraId="557696F0" w14:textId="77777777" w:rsidR="002F1695" w:rsidRDefault="002F1695"/>
    <w:sectPr w:rsidR="002F1695"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5DAAF" w14:textId="77777777" w:rsidR="00AF6394" w:rsidRDefault="00AF6394">
      <w:pPr>
        <w:spacing w:after="0" w:line="240" w:lineRule="auto"/>
      </w:pPr>
      <w:r>
        <w:separator/>
      </w:r>
    </w:p>
  </w:endnote>
  <w:endnote w:type="continuationSeparator" w:id="0">
    <w:p w14:paraId="05A36F46" w14:textId="77777777" w:rsidR="00AF6394" w:rsidRDefault="00AF6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7AB2" w14:textId="77777777" w:rsidR="002F1695"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E5407" w14:textId="77777777" w:rsidR="00AF6394" w:rsidRDefault="00AF6394">
      <w:pPr>
        <w:spacing w:after="0" w:line="240" w:lineRule="auto"/>
      </w:pPr>
      <w:r>
        <w:separator/>
      </w:r>
    </w:p>
  </w:footnote>
  <w:footnote w:type="continuationSeparator" w:id="0">
    <w:p w14:paraId="608131F1" w14:textId="77777777" w:rsidR="00AF6394" w:rsidRDefault="00AF6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16FFF" w14:textId="77777777" w:rsidR="002F1695" w:rsidRDefault="00000000">
    <w:pPr>
      <w:pStyle w:val="Header"/>
      <w:jc w:val="right"/>
    </w:pPr>
    <w:r>
      <w:rPr>
        <w:sz w:val="20"/>
      </w:rPr>
      <w:t>Intangible Heritage and Community Participation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0872884">
    <w:abstractNumId w:val="8"/>
  </w:num>
  <w:num w:numId="2" w16cid:durableId="1068502766">
    <w:abstractNumId w:val="6"/>
  </w:num>
  <w:num w:numId="3" w16cid:durableId="195969391">
    <w:abstractNumId w:val="5"/>
  </w:num>
  <w:num w:numId="4" w16cid:durableId="1434277151">
    <w:abstractNumId w:val="4"/>
  </w:num>
  <w:num w:numId="5" w16cid:durableId="1930652360">
    <w:abstractNumId w:val="7"/>
  </w:num>
  <w:num w:numId="6" w16cid:durableId="159783949">
    <w:abstractNumId w:val="3"/>
  </w:num>
  <w:num w:numId="7" w16cid:durableId="545067490">
    <w:abstractNumId w:val="2"/>
  </w:num>
  <w:num w:numId="8" w16cid:durableId="2008514473">
    <w:abstractNumId w:val="1"/>
  </w:num>
  <w:num w:numId="9" w16cid:durableId="18949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2997"/>
    <w:rsid w:val="0029639D"/>
    <w:rsid w:val="002F1695"/>
    <w:rsid w:val="00326F90"/>
    <w:rsid w:val="00AA1D8D"/>
    <w:rsid w:val="00AF6394"/>
    <w:rsid w:val="00B47730"/>
    <w:rsid w:val="00C2467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8EAD6"/>
  <w14:defaultImageDpi w14:val="300"/>
  <w15:docId w15:val="{2882AF4E-0009-4311-A782-D040E5D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5095</Words>
  <Characters>29045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34072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2026-05-18T13:29:00Z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2226ed65-104d-4bc8-8fc3-a3c19525d001</vt:lpwstr>
  </property>
</Properties>
</file>