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9C1ECA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3276669" w14:textId="77777777" w:rsidR="00FE7BA9" w:rsidRPr="00FE7BA9" w:rsidRDefault="00FE7BA9" w:rsidP="00FE7BA9">
      <w:pPr>
        <w:pStyle w:val="ListParagraph"/>
        <w:spacing w:line="276" w:lineRule="auto"/>
        <w:rPr>
          <w:b/>
          <w:bCs/>
          <w:lang w:val="en-GB"/>
        </w:rPr>
      </w:pPr>
      <w:r w:rsidRPr="00FE7BA9">
        <w:rPr>
          <w:b/>
          <w:bCs/>
          <w:lang w:val="en-GB"/>
        </w:rPr>
        <w:lastRenderedPageBreak/>
        <w:t>SWOT Analysis of the Great Wall of China</w:t>
      </w:r>
    </w:p>
    <w:tbl>
      <w:tblPr>
        <w:tblStyle w:val="ListTable3"/>
        <w:tblW w:w="0" w:type="auto"/>
        <w:tblLook w:val="04A0" w:firstRow="1" w:lastRow="0" w:firstColumn="1" w:lastColumn="0" w:noHBand="0" w:noVBand="1"/>
      </w:tblPr>
      <w:tblGrid>
        <w:gridCol w:w="2282"/>
        <w:gridCol w:w="2245"/>
        <w:gridCol w:w="2231"/>
        <w:gridCol w:w="2258"/>
      </w:tblGrid>
      <w:tr w:rsidR="00FE7BA9" w:rsidRPr="00FE7BA9" w14:paraId="50181CDD" w14:textId="77777777" w:rsidTr="00B62C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14:paraId="6990949F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6AA286BA" w14:textId="77777777" w:rsidR="00FE7BA9" w:rsidRPr="00FE7BA9" w:rsidRDefault="00FE7BA9" w:rsidP="00FE7BA9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78178E25" w14:textId="77777777" w:rsidR="00FE7BA9" w:rsidRPr="00FE7BA9" w:rsidRDefault="00FE7BA9" w:rsidP="00FE7BA9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3AB515F5" w14:textId="77777777" w:rsidR="00FE7BA9" w:rsidRPr="00FE7BA9" w:rsidRDefault="00FE7BA9" w:rsidP="00FE7BA9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Threats</w:t>
            </w:r>
          </w:p>
        </w:tc>
      </w:tr>
      <w:tr w:rsidR="00FE7BA9" w:rsidRPr="00FE7BA9" w14:paraId="51538C2B" w14:textId="77777777" w:rsidTr="00B62C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818215A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One of the world's most iconic cultural heritage sites and a UNESCO World Heritage Site.</w:t>
            </w:r>
          </w:p>
        </w:tc>
        <w:tc>
          <w:tcPr>
            <w:tcW w:w="0" w:type="auto"/>
            <w:hideMark/>
          </w:tcPr>
          <w:p w14:paraId="60C45615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Some sections are deteriorating due to age and inadequate maintenance.</w:t>
            </w:r>
          </w:p>
        </w:tc>
        <w:tc>
          <w:tcPr>
            <w:tcW w:w="0" w:type="auto"/>
            <w:hideMark/>
          </w:tcPr>
          <w:p w14:paraId="67273C0B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Expand digital tourism through virtual tours and interactive heritage platforms.</w:t>
            </w:r>
          </w:p>
        </w:tc>
        <w:tc>
          <w:tcPr>
            <w:tcW w:w="0" w:type="auto"/>
            <w:hideMark/>
          </w:tcPr>
          <w:p w14:paraId="673758B9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Natural erosion caused by wind, rain, and climate change.</w:t>
            </w:r>
          </w:p>
        </w:tc>
      </w:tr>
      <w:tr w:rsidR="00FE7BA9" w:rsidRPr="00FE7BA9" w14:paraId="4DF66AB6" w14:textId="77777777" w:rsidTr="00B62C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D353B18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Rich historical significance representing China's military and architectural achievements.</w:t>
            </w:r>
          </w:p>
        </w:tc>
        <w:tc>
          <w:tcPr>
            <w:tcW w:w="0" w:type="auto"/>
            <w:hideMark/>
          </w:tcPr>
          <w:p w14:paraId="4E28C9A8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Remote sections have limited visitor facilities and transportation access.</w:t>
            </w:r>
          </w:p>
        </w:tc>
        <w:tc>
          <w:tcPr>
            <w:tcW w:w="0" w:type="auto"/>
            <w:hideMark/>
          </w:tcPr>
          <w:p w14:paraId="0DCD05E1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Increase international cultural exchange and heritage education programs.</w:t>
            </w:r>
          </w:p>
        </w:tc>
        <w:tc>
          <w:tcPr>
            <w:tcW w:w="0" w:type="auto"/>
            <w:hideMark/>
          </w:tcPr>
          <w:p w14:paraId="0D674608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Damage caused by illegal construction, vandalism, and graffiti.</w:t>
            </w:r>
          </w:p>
        </w:tc>
      </w:tr>
      <w:tr w:rsidR="00FE7BA9" w:rsidRPr="00FE7BA9" w14:paraId="75BF2A09" w14:textId="77777777" w:rsidTr="00B62C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1689EBD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Attracts millions of domestic and international tourists, generating substantial economic benefits.</w:t>
            </w:r>
          </w:p>
        </w:tc>
        <w:tc>
          <w:tcPr>
            <w:tcW w:w="0" w:type="auto"/>
            <w:hideMark/>
          </w:tcPr>
          <w:p w14:paraId="259E6B3D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High maintenance and restoration costs across its vast length.</w:t>
            </w:r>
          </w:p>
        </w:tc>
        <w:tc>
          <w:tcPr>
            <w:tcW w:w="0" w:type="auto"/>
            <w:hideMark/>
          </w:tcPr>
          <w:p w14:paraId="4984CDF1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Promote sustainable tourism and community-based tourism initiatives.</w:t>
            </w:r>
          </w:p>
        </w:tc>
        <w:tc>
          <w:tcPr>
            <w:tcW w:w="0" w:type="auto"/>
            <w:hideMark/>
          </w:tcPr>
          <w:p w14:paraId="06DD602C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Overtourism in popular sections leading to structural wear and environmental degradation.</w:t>
            </w:r>
          </w:p>
        </w:tc>
      </w:tr>
    </w:tbl>
    <w:p w14:paraId="398ABA82" w14:textId="77777777" w:rsidR="00B62C8D" w:rsidRDefault="00B62C8D" w:rsidP="00FE7BA9">
      <w:pPr>
        <w:pStyle w:val="ListParagraph"/>
        <w:spacing w:line="276" w:lineRule="auto"/>
        <w:rPr>
          <w:lang w:val="en-GB"/>
        </w:rPr>
      </w:pPr>
    </w:p>
    <w:p w14:paraId="1F88216C" w14:textId="77777777" w:rsidR="00B62C8D" w:rsidRDefault="00B62C8D" w:rsidP="00FE7BA9">
      <w:pPr>
        <w:pStyle w:val="ListParagraph"/>
        <w:spacing w:line="276" w:lineRule="auto"/>
        <w:rPr>
          <w:lang w:val="en-GB"/>
        </w:rPr>
      </w:pPr>
    </w:p>
    <w:p w14:paraId="21BB8069" w14:textId="77777777" w:rsidR="00B62C8D" w:rsidRDefault="00B62C8D" w:rsidP="00FE7BA9">
      <w:pPr>
        <w:pStyle w:val="ListParagraph"/>
        <w:spacing w:line="276" w:lineRule="auto"/>
        <w:rPr>
          <w:lang w:val="en-GB"/>
        </w:rPr>
      </w:pPr>
    </w:p>
    <w:p w14:paraId="1717B386" w14:textId="77777777" w:rsidR="00B62C8D" w:rsidRDefault="00B62C8D" w:rsidP="00FE7BA9">
      <w:pPr>
        <w:pStyle w:val="ListParagraph"/>
        <w:spacing w:line="276" w:lineRule="auto"/>
        <w:rPr>
          <w:lang w:val="en-GB"/>
        </w:rPr>
      </w:pPr>
    </w:p>
    <w:p w14:paraId="00E4096A" w14:textId="77777777" w:rsidR="00B62C8D" w:rsidRDefault="00B62C8D" w:rsidP="00FE7BA9">
      <w:pPr>
        <w:pStyle w:val="ListParagraph"/>
        <w:spacing w:line="276" w:lineRule="auto"/>
        <w:rPr>
          <w:lang w:val="en-GB"/>
        </w:rPr>
      </w:pPr>
    </w:p>
    <w:p w14:paraId="783794A5" w14:textId="77777777" w:rsidR="00B62C8D" w:rsidRDefault="00B62C8D" w:rsidP="00FE7BA9">
      <w:pPr>
        <w:pStyle w:val="ListParagraph"/>
        <w:spacing w:line="276" w:lineRule="auto"/>
        <w:rPr>
          <w:lang w:val="en-GB"/>
        </w:rPr>
      </w:pPr>
    </w:p>
    <w:p w14:paraId="654AD13A" w14:textId="77777777" w:rsidR="00B62C8D" w:rsidRDefault="00B62C8D" w:rsidP="00FE7BA9">
      <w:pPr>
        <w:pStyle w:val="ListParagraph"/>
        <w:spacing w:line="276" w:lineRule="auto"/>
        <w:rPr>
          <w:lang w:val="en-GB"/>
        </w:rPr>
      </w:pPr>
    </w:p>
    <w:p w14:paraId="59E87C07" w14:textId="77777777" w:rsidR="00B62C8D" w:rsidRDefault="00B62C8D" w:rsidP="00FE7BA9">
      <w:pPr>
        <w:pStyle w:val="ListParagraph"/>
        <w:spacing w:line="276" w:lineRule="auto"/>
        <w:rPr>
          <w:lang w:val="en-GB"/>
        </w:rPr>
      </w:pPr>
    </w:p>
    <w:p w14:paraId="403BCCF0" w14:textId="77777777" w:rsidR="00B62C8D" w:rsidRDefault="00B62C8D" w:rsidP="00FE7BA9">
      <w:pPr>
        <w:pStyle w:val="ListParagraph"/>
        <w:spacing w:line="276" w:lineRule="auto"/>
        <w:rPr>
          <w:lang w:val="en-GB"/>
        </w:rPr>
      </w:pPr>
    </w:p>
    <w:p w14:paraId="03873569" w14:textId="77777777" w:rsidR="00B62C8D" w:rsidRDefault="00B62C8D" w:rsidP="00FE7BA9">
      <w:pPr>
        <w:pStyle w:val="ListParagraph"/>
        <w:spacing w:line="276" w:lineRule="auto"/>
        <w:rPr>
          <w:lang w:val="en-GB"/>
        </w:rPr>
      </w:pPr>
    </w:p>
    <w:p w14:paraId="4C45B793" w14:textId="77777777" w:rsidR="00B62C8D" w:rsidRDefault="00B62C8D" w:rsidP="00FE7BA9">
      <w:pPr>
        <w:pStyle w:val="ListParagraph"/>
        <w:spacing w:line="276" w:lineRule="auto"/>
        <w:rPr>
          <w:lang w:val="en-GB"/>
        </w:rPr>
      </w:pPr>
    </w:p>
    <w:p w14:paraId="41BC81FF" w14:textId="75189CD6" w:rsidR="00FE7BA9" w:rsidRPr="00FE7BA9" w:rsidRDefault="00FE7BA9" w:rsidP="00FE7BA9">
      <w:pPr>
        <w:pStyle w:val="ListParagraph"/>
        <w:spacing w:line="276" w:lineRule="auto"/>
        <w:rPr>
          <w:lang w:val="en-GB"/>
        </w:rPr>
      </w:pPr>
      <w:r w:rsidRPr="00FE7BA9">
        <w:rPr>
          <w:lang w:val="en-GB"/>
        </w:rPr>
        <w:lastRenderedPageBreak/>
        <w:pict w14:anchorId="302B7CA9">
          <v:rect id="_x0000_i1055" style="width:0;height:1.5pt" o:hralign="center" o:hrstd="t" o:hr="t" fillcolor="#a0a0a0" stroked="f"/>
        </w:pict>
      </w:r>
    </w:p>
    <w:p w14:paraId="77D3EEAC" w14:textId="77777777" w:rsidR="00FE7BA9" w:rsidRPr="00FE7BA9" w:rsidRDefault="00FE7BA9" w:rsidP="00FE7BA9">
      <w:pPr>
        <w:pStyle w:val="ListParagraph"/>
        <w:spacing w:line="276" w:lineRule="auto"/>
        <w:rPr>
          <w:b/>
          <w:bCs/>
          <w:lang w:val="en-GB"/>
        </w:rPr>
      </w:pPr>
      <w:r w:rsidRPr="00FE7BA9">
        <w:rPr>
          <w:b/>
          <w:bCs/>
          <w:lang w:val="en-GB"/>
        </w:rPr>
        <w:t>Linking the SWOT Analysis to Objectives, Strategies, and Actions</w:t>
      </w:r>
    </w:p>
    <w:tbl>
      <w:tblPr>
        <w:tblStyle w:val="ListTable3"/>
        <w:tblW w:w="0" w:type="auto"/>
        <w:tblLook w:val="04A0" w:firstRow="1" w:lastRow="0" w:firstColumn="1" w:lastColumn="0" w:noHBand="0" w:noVBand="1"/>
      </w:tblPr>
      <w:tblGrid>
        <w:gridCol w:w="2175"/>
        <w:gridCol w:w="2265"/>
        <w:gridCol w:w="2265"/>
        <w:gridCol w:w="2311"/>
      </w:tblGrid>
      <w:tr w:rsidR="00FE7BA9" w:rsidRPr="00FE7BA9" w14:paraId="5EDD35DB" w14:textId="77777777" w:rsidTr="00B62C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14:paraId="187830ED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55F9B210" w14:textId="77777777" w:rsidR="00FE7BA9" w:rsidRPr="00FE7BA9" w:rsidRDefault="00FE7BA9" w:rsidP="00FE7BA9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6730F1F7" w14:textId="77777777" w:rsidR="00FE7BA9" w:rsidRPr="00FE7BA9" w:rsidRDefault="00FE7BA9" w:rsidP="00FE7BA9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5BBF8EFC" w14:textId="77777777" w:rsidR="00FE7BA9" w:rsidRPr="00FE7BA9" w:rsidRDefault="00FE7BA9" w:rsidP="00FE7BA9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Actions</w:t>
            </w:r>
          </w:p>
        </w:tc>
      </w:tr>
      <w:tr w:rsidR="00FE7BA9" w:rsidRPr="00FE7BA9" w14:paraId="0759DB93" w14:textId="77777777" w:rsidTr="00B62C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7680A5E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Strength 1: UNESCO World Heritage status</w:t>
            </w:r>
          </w:p>
        </w:tc>
        <w:tc>
          <w:tcPr>
            <w:tcW w:w="0" w:type="auto"/>
            <w:hideMark/>
          </w:tcPr>
          <w:p w14:paraId="1D62A300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Preserve the site's international cultural significance.</w:t>
            </w:r>
          </w:p>
        </w:tc>
        <w:tc>
          <w:tcPr>
            <w:tcW w:w="0" w:type="auto"/>
            <w:hideMark/>
          </w:tcPr>
          <w:p w14:paraId="6C13EB39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Strengthen heritage conservation and global cooperation.</w:t>
            </w:r>
          </w:p>
        </w:tc>
        <w:tc>
          <w:tcPr>
            <w:tcW w:w="0" w:type="auto"/>
            <w:hideMark/>
          </w:tcPr>
          <w:p w14:paraId="5333DAB3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Collaborate with UNESCO and international conservation organizations to secure funding and technical expertise.</w:t>
            </w:r>
          </w:p>
        </w:tc>
      </w:tr>
      <w:tr w:rsidR="00FE7BA9" w:rsidRPr="00FE7BA9" w14:paraId="128AD0A6" w14:textId="77777777" w:rsidTr="00B62C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D494203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Strength 2: Historical and architectural importance</w:t>
            </w:r>
          </w:p>
        </w:tc>
        <w:tc>
          <w:tcPr>
            <w:tcW w:w="0" w:type="auto"/>
            <w:hideMark/>
          </w:tcPr>
          <w:p w14:paraId="1E763BFE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Enhance public understanding of Chinese history and culture.</w:t>
            </w:r>
          </w:p>
        </w:tc>
        <w:tc>
          <w:tcPr>
            <w:tcW w:w="0" w:type="auto"/>
            <w:hideMark/>
          </w:tcPr>
          <w:p w14:paraId="38E83D04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Promote educational and cultural tourism.</w:t>
            </w:r>
          </w:p>
        </w:tc>
        <w:tc>
          <w:tcPr>
            <w:tcW w:w="0" w:type="auto"/>
            <w:hideMark/>
          </w:tcPr>
          <w:p w14:paraId="40798FB4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Organize exhibitions, guided heritage tours, and educational workshops.</w:t>
            </w:r>
          </w:p>
        </w:tc>
      </w:tr>
      <w:tr w:rsidR="00FE7BA9" w:rsidRPr="00FE7BA9" w14:paraId="7809219E" w14:textId="77777777" w:rsidTr="00B62C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2732520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Strength 3: High tourism demand</w:t>
            </w:r>
          </w:p>
        </w:tc>
        <w:tc>
          <w:tcPr>
            <w:tcW w:w="0" w:type="auto"/>
            <w:hideMark/>
          </w:tcPr>
          <w:p w14:paraId="46643F00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Increase tourism revenue while ensuring visitor satisfaction.</w:t>
            </w:r>
          </w:p>
        </w:tc>
        <w:tc>
          <w:tcPr>
            <w:tcW w:w="0" w:type="auto"/>
            <w:hideMark/>
          </w:tcPr>
          <w:p w14:paraId="0ED1BEF1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Improve tourism infrastructure and visitor management.</w:t>
            </w:r>
          </w:p>
        </w:tc>
        <w:tc>
          <w:tcPr>
            <w:tcW w:w="0" w:type="auto"/>
            <w:hideMark/>
          </w:tcPr>
          <w:p w14:paraId="1F96D229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Expand visitor centres, improve transportation, and implement online ticketing systems.</w:t>
            </w:r>
          </w:p>
        </w:tc>
      </w:tr>
      <w:tr w:rsidR="00FE7BA9" w:rsidRPr="00FE7BA9" w14:paraId="5AA1EDF7" w14:textId="77777777" w:rsidTr="00B62C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15BA97B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Weakness 1: Deteriorating sections</w:t>
            </w:r>
          </w:p>
        </w:tc>
        <w:tc>
          <w:tcPr>
            <w:tcW w:w="0" w:type="auto"/>
            <w:hideMark/>
          </w:tcPr>
          <w:p w14:paraId="04818990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Improve long-term preservation of the monument.</w:t>
            </w:r>
          </w:p>
        </w:tc>
        <w:tc>
          <w:tcPr>
            <w:tcW w:w="0" w:type="auto"/>
            <w:hideMark/>
          </w:tcPr>
          <w:p w14:paraId="7886FD6D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Prioritize restoration and preventive conservation.</w:t>
            </w:r>
          </w:p>
        </w:tc>
        <w:tc>
          <w:tcPr>
            <w:tcW w:w="0" w:type="auto"/>
            <w:hideMark/>
          </w:tcPr>
          <w:p w14:paraId="6DB52D90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Conduct regular inspections and restoration using authentic construction materials.</w:t>
            </w:r>
          </w:p>
        </w:tc>
      </w:tr>
      <w:tr w:rsidR="00FE7BA9" w:rsidRPr="00FE7BA9" w14:paraId="5C703104" w14:textId="77777777" w:rsidTr="00B62C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132F1ED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lastRenderedPageBreak/>
              <w:t>Weakness 2: Limited accessibility</w:t>
            </w:r>
          </w:p>
        </w:tc>
        <w:tc>
          <w:tcPr>
            <w:tcW w:w="0" w:type="auto"/>
            <w:hideMark/>
          </w:tcPr>
          <w:p w14:paraId="6A77D8BA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Improve access for tourists while protecting heritage.</w:t>
            </w:r>
          </w:p>
        </w:tc>
        <w:tc>
          <w:tcPr>
            <w:tcW w:w="0" w:type="auto"/>
            <w:hideMark/>
          </w:tcPr>
          <w:p w14:paraId="12C24A4A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Upgrade infrastructure sustainably.</w:t>
            </w:r>
          </w:p>
        </w:tc>
        <w:tc>
          <w:tcPr>
            <w:tcW w:w="0" w:type="auto"/>
            <w:hideMark/>
          </w:tcPr>
          <w:p w14:paraId="42A8AFE1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Improve roads, signage, rest areas, and accessibility for elderly and disabled visitors.</w:t>
            </w:r>
          </w:p>
        </w:tc>
      </w:tr>
      <w:tr w:rsidR="00FE7BA9" w:rsidRPr="00FE7BA9" w14:paraId="2EF1E491" w14:textId="77777777" w:rsidTr="00B62C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153DF8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Weakness 3: High maintenance costs</w:t>
            </w:r>
          </w:p>
        </w:tc>
        <w:tc>
          <w:tcPr>
            <w:tcW w:w="0" w:type="auto"/>
            <w:hideMark/>
          </w:tcPr>
          <w:p w14:paraId="64F732ED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Ensure sustainable financial support for conservation.</w:t>
            </w:r>
          </w:p>
        </w:tc>
        <w:tc>
          <w:tcPr>
            <w:tcW w:w="0" w:type="auto"/>
            <w:hideMark/>
          </w:tcPr>
          <w:p w14:paraId="7A699426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Diversify funding sources.</w:t>
            </w:r>
          </w:p>
        </w:tc>
        <w:tc>
          <w:tcPr>
            <w:tcW w:w="0" w:type="auto"/>
            <w:hideMark/>
          </w:tcPr>
          <w:p w14:paraId="3F655EC8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Encourage government investment, sponsorships, donations, and tourism-generated revenue.</w:t>
            </w:r>
          </w:p>
        </w:tc>
      </w:tr>
      <w:tr w:rsidR="00FE7BA9" w:rsidRPr="00FE7BA9" w14:paraId="70ECC177" w14:textId="77777777" w:rsidTr="00B62C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0DA5436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Opportunity 1: Digital tourism</w:t>
            </w:r>
          </w:p>
        </w:tc>
        <w:tc>
          <w:tcPr>
            <w:tcW w:w="0" w:type="auto"/>
            <w:hideMark/>
          </w:tcPr>
          <w:p w14:paraId="22DD64AD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Enhance visitor engagement globally.</w:t>
            </w:r>
          </w:p>
        </w:tc>
        <w:tc>
          <w:tcPr>
            <w:tcW w:w="0" w:type="auto"/>
            <w:hideMark/>
          </w:tcPr>
          <w:p w14:paraId="226BF826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Invest in digital heritage technologies.</w:t>
            </w:r>
          </w:p>
        </w:tc>
        <w:tc>
          <w:tcPr>
            <w:tcW w:w="0" w:type="auto"/>
            <w:hideMark/>
          </w:tcPr>
          <w:p w14:paraId="231B7F3B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Develop virtual reality (VR), augmented reality (AR), and mobile applications for remote visitors.</w:t>
            </w:r>
          </w:p>
        </w:tc>
      </w:tr>
      <w:tr w:rsidR="00FE7BA9" w:rsidRPr="00FE7BA9" w14:paraId="6922583C" w14:textId="77777777" w:rsidTr="00B62C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5C6D390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Opportunity 2: International educational partnerships</w:t>
            </w:r>
          </w:p>
        </w:tc>
        <w:tc>
          <w:tcPr>
            <w:tcW w:w="0" w:type="auto"/>
            <w:hideMark/>
          </w:tcPr>
          <w:p w14:paraId="77AF135A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Promote cultural research and awareness.</w:t>
            </w:r>
          </w:p>
        </w:tc>
        <w:tc>
          <w:tcPr>
            <w:tcW w:w="0" w:type="auto"/>
            <w:hideMark/>
          </w:tcPr>
          <w:p w14:paraId="12864DF2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Collaborate with educational institutions.</w:t>
            </w:r>
          </w:p>
        </w:tc>
        <w:tc>
          <w:tcPr>
            <w:tcW w:w="0" w:type="auto"/>
            <w:hideMark/>
          </w:tcPr>
          <w:p w14:paraId="45690645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Establish joint archaeological research projects and student exchange programs.</w:t>
            </w:r>
          </w:p>
        </w:tc>
      </w:tr>
      <w:tr w:rsidR="00FE7BA9" w:rsidRPr="00FE7BA9" w14:paraId="2E02EF1D" w14:textId="77777777" w:rsidTr="00B62C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59FE776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Opportunity 3: Sustainable tourism</w:t>
            </w:r>
          </w:p>
        </w:tc>
        <w:tc>
          <w:tcPr>
            <w:tcW w:w="0" w:type="auto"/>
            <w:hideMark/>
          </w:tcPr>
          <w:p w14:paraId="427F88C3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Balance tourism growth with conservation.</w:t>
            </w:r>
          </w:p>
        </w:tc>
        <w:tc>
          <w:tcPr>
            <w:tcW w:w="0" w:type="auto"/>
            <w:hideMark/>
          </w:tcPr>
          <w:p w14:paraId="31AE7416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Implement eco-friendly tourism policies.</w:t>
            </w:r>
          </w:p>
        </w:tc>
        <w:tc>
          <w:tcPr>
            <w:tcW w:w="0" w:type="auto"/>
            <w:hideMark/>
          </w:tcPr>
          <w:p w14:paraId="0CA84244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 xml:space="preserve">Introduce visitor limits, eco-friendly transport, waste management systems, and local </w:t>
            </w:r>
            <w:r w:rsidRPr="00FE7BA9">
              <w:rPr>
                <w:lang w:val="en-GB"/>
              </w:rPr>
              <w:lastRenderedPageBreak/>
              <w:t>community participation.</w:t>
            </w:r>
          </w:p>
        </w:tc>
      </w:tr>
      <w:tr w:rsidR="00FE7BA9" w:rsidRPr="00FE7BA9" w14:paraId="2CB87E73" w14:textId="77777777" w:rsidTr="00B62C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19BFF28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lastRenderedPageBreak/>
              <w:t>Threat 1: Climate change and erosion</w:t>
            </w:r>
          </w:p>
        </w:tc>
        <w:tc>
          <w:tcPr>
            <w:tcW w:w="0" w:type="auto"/>
            <w:hideMark/>
          </w:tcPr>
          <w:p w14:paraId="18987049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Reduce environmental damage.</w:t>
            </w:r>
          </w:p>
        </w:tc>
        <w:tc>
          <w:tcPr>
            <w:tcW w:w="0" w:type="auto"/>
            <w:hideMark/>
          </w:tcPr>
          <w:p w14:paraId="2B185053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Strengthen environmental monitoring and conservation practices.</w:t>
            </w:r>
          </w:p>
        </w:tc>
        <w:tc>
          <w:tcPr>
            <w:tcW w:w="0" w:type="auto"/>
            <w:hideMark/>
          </w:tcPr>
          <w:p w14:paraId="5ECE55A5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Install erosion control measures and conduct regular environmental impact assessments.</w:t>
            </w:r>
          </w:p>
        </w:tc>
      </w:tr>
      <w:tr w:rsidR="00FE7BA9" w:rsidRPr="00FE7BA9" w14:paraId="5D5AA917" w14:textId="77777777" w:rsidTr="00B62C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CD7BDA5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Threat 2: Illegal construction and vandalism</w:t>
            </w:r>
          </w:p>
        </w:tc>
        <w:tc>
          <w:tcPr>
            <w:tcW w:w="0" w:type="auto"/>
            <w:hideMark/>
          </w:tcPr>
          <w:p w14:paraId="3B9341CD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Protect the monument from human activities.</w:t>
            </w:r>
          </w:p>
        </w:tc>
        <w:tc>
          <w:tcPr>
            <w:tcW w:w="0" w:type="auto"/>
            <w:hideMark/>
          </w:tcPr>
          <w:p w14:paraId="1B502DAA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Strengthen legal protection and security measures.</w:t>
            </w:r>
          </w:p>
        </w:tc>
        <w:tc>
          <w:tcPr>
            <w:tcW w:w="0" w:type="auto"/>
            <w:hideMark/>
          </w:tcPr>
          <w:p w14:paraId="6DF4A494" w14:textId="77777777" w:rsidR="00FE7BA9" w:rsidRPr="00FE7BA9" w:rsidRDefault="00FE7BA9" w:rsidP="00FE7BA9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Increase surveillance, security patrols, and impose stricter penalties for violations.</w:t>
            </w:r>
          </w:p>
        </w:tc>
      </w:tr>
      <w:tr w:rsidR="00FE7BA9" w:rsidRPr="00FE7BA9" w14:paraId="3DF28DD0" w14:textId="77777777" w:rsidTr="00B62C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A15C3C6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Threat 3: Overtourism</w:t>
            </w:r>
          </w:p>
        </w:tc>
        <w:tc>
          <w:tcPr>
            <w:tcW w:w="0" w:type="auto"/>
            <w:hideMark/>
          </w:tcPr>
          <w:p w14:paraId="30047CC4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Maintain the site's structural integrity and visitor experience.</w:t>
            </w:r>
          </w:p>
        </w:tc>
        <w:tc>
          <w:tcPr>
            <w:tcW w:w="0" w:type="auto"/>
            <w:hideMark/>
          </w:tcPr>
          <w:p w14:paraId="37332C2B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Develop effective visitor management strategies.</w:t>
            </w:r>
          </w:p>
        </w:tc>
        <w:tc>
          <w:tcPr>
            <w:tcW w:w="0" w:type="auto"/>
            <w:hideMark/>
          </w:tcPr>
          <w:p w14:paraId="4132339B" w14:textId="77777777" w:rsidR="00FE7BA9" w:rsidRPr="00FE7BA9" w:rsidRDefault="00FE7BA9" w:rsidP="00FE7BA9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FE7BA9">
              <w:rPr>
                <w:lang w:val="en-GB"/>
              </w:rPr>
              <w:t>Introduce timed-entry systems, distribute visitors across different sections, and promote off-season tourism.</w:t>
            </w:r>
          </w:p>
        </w:tc>
      </w:tr>
    </w:tbl>
    <w:p w14:paraId="1D372980" w14:textId="31D68258" w:rsidR="00FE7BA9" w:rsidRPr="00FE7BA9" w:rsidRDefault="00FE7BA9" w:rsidP="00FE7BA9">
      <w:pPr>
        <w:pStyle w:val="ListParagraph"/>
        <w:spacing w:line="276" w:lineRule="auto"/>
        <w:rPr>
          <w:lang w:val="en-GB"/>
        </w:rPr>
      </w:pPr>
    </w:p>
    <w:p w14:paraId="683FCB2B" w14:textId="77777777" w:rsidR="00FE7BA9" w:rsidRPr="00FE7BA9" w:rsidRDefault="00FE7BA9" w:rsidP="00FE7BA9">
      <w:pPr>
        <w:pStyle w:val="ListParagraph"/>
        <w:spacing w:line="276" w:lineRule="auto"/>
        <w:rPr>
          <w:b/>
          <w:bCs/>
          <w:lang w:val="en-GB"/>
        </w:rPr>
      </w:pPr>
      <w:r w:rsidRPr="00FE7BA9">
        <w:rPr>
          <w:b/>
          <w:bCs/>
          <w:lang w:val="en-GB"/>
        </w:rPr>
        <w:t>Summary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9"/>
        <w:gridCol w:w="7037"/>
      </w:tblGrid>
      <w:tr w:rsidR="00FE7BA9" w:rsidRPr="00FE7BA9" w14:paraId="239EF9EA" w14:textId="77777777" w:rsidTr="00FE7BA9">
        <w:tc>
          <w:tcPr>
            <w:tcW w:w="0" w:type="auto"/>
            <w:hideMark/>
          </w:tcPr>
          <w:p w14:paraId="72622F3F" w14:textId="77777777" w:rsidR="00FE7BA9" w:rsidRPr="00FE7BA9" w:rsidRDefault="00FE7BA9" w:rsidP="00FE7BA9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FE7BA9">
              <w:rPr>
                <w:b/>
                <w:bCs/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3BBB830A" w14:textId="77777777" w:rsidR="00FE7BA9" w:rsidRPr="00FE7BA9" w:rsidRDefault="00FE7BA9" w:rsidP="00FE7BA9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FE7BA9">
              <w:rPr>
                <w:b/>
                <w:bCs/>
                <w:lang w:val="en-GB"/>
              </w:rPr>
              <w:t>Key Focus</w:t>
            </w:r>
          </w:p>
        </w:tc>
      </w:tr>
      <w:tr w:rsidR="00FE7BA9" w:rsidRPr="00FE7BA9" w14:paraId="3370EF83" w14:textId="77777777" w:rsidTr="00FE7BA9">
        <w:tc>
          <w:tcPr>
            <w:tcW w:w="0" w:type="auto"/>
            <w:hideMark/>
          </w:tcPr>
          <w:p w14:paraId="24E65356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3317CF1A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Preserve cultural heritage, improve accessibility, enhance visitor experience, promote education, and ensure sustainable tourism.</w:t>
            </w:r>
          </w:p>
        </w:tc>
      </w:tr>
      <w:tr w:rsidR="00FE7BA9" w:rsidRPr="00FE7BA9" w14:paraId="38CE6786" w14:textId="77777777" w:rsidTr="00FE7BA9">
        <w:tc>
          <w:tcPr>
            <w:tcW w:w="0" w:type="auto"/>
            <w:hideMark/>
          </w:tcPr>
          <w:p w14:paraId="0EA150FB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5DAC5F3C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Heritage conservation, digital innovation, sustainable tourism, infrastructure improvement, visitor management, and international collaboration.</w:t>
            </w:r>
          </w:p>
        </w:tc>
      </w:tr>
      <w:tr w:rsidR="00FE7BA9" w:rsidRPr="00FE7BA9" w14:paraId="38A33BA9" w14:textId="77777777" w:rsidTr="00FE7BA9">
        <w:tc>
          <w:tcPr>
            <w:tcW w:w="0" w:type="auto"/>
            <w:hideMark/>
          </w:tcPr>
          <w:p w14:paraId="61665AA4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b/>
                <w:bCs/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2EB0330D" w14:textId="77777777" w:rsidR="00FE7BA9" w:rsidRPr="00FE7BA9" w:rsidRDefault="00FE7BA9" w:rsidP="00FE7BA9">
            <w:pPr>
              <w:pStyle w:val="ListParagraph"/>
              <w:spacing w:line="276" w:lineRule="auto"/>
              <w:rPr>
                <w:lang w:val="en-GB"/>
              </w:rPr>
            </w:pPr>
            <w:r w:rsidRPr="00FE7BA9">
              <w:rPr>
                <w:lang w:val="en-GB"/>
              </w:rPr>
              <w:t>Restoration projects, VR and AR experiences, educational programs, improved accessibility, environmental monitoring, visitor quotas, enhanced security, and community involvement.</w:t>
            </w:r>
          </w:p>
        </w:tc>
      </w:tr>
    </w:tbl>
    <w:p w14:paraId="4090CE93" w14:textId="77777777" w:rsidR="004E190D" w:rsidRPr="007079EF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sectPr w:rsidR="004E190D" w:rsidRPr="0070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1E1CAD9-AF70-4B52-81E1-61960953D30D}"/>
    <w:embedBold r:id="rId2" w:fontKey="{707B1604-D22F-4AFF-92BF-285802230E8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7AE3E013-CB98-4658-A17B-BB65B6B0B54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76AF21D4-5858-44A1-95C6-4C75A0FFD62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E1FD5"/>
    <w:rsid w:val="005E458B"/>
    <w:rsid w:val="00672345"/>
    <w:rsid w:val="00705037"/>
    <w:rsid w:val="007079EF"/>
    <w:rsid w:val="007C7917"/>
    <w:rsid w:val="00844EC2"/>
    <w:rsid w:val="008516FE"/>
    <w:rsid w:val="00942251"/>
    <w:rsid w:val="009C1D0A"/>
    <w:rsid w:val="00A044F7"/>
    <w:rsid w:val="00A057BE"/>
    <w:rsid w:val="00A8150E"/>
    <w:rsid w:val="00B20343"/>
    <w:rsid w:val="00B62C8D"/>
    <w:rsid w:val="00B85EA7"/>
    <w:rsid w:val="00BE5257"/>
    <w:rsid w:val="00BE65DD"/>
    <w:rsid w:val="00C612A4"/>
    <w:rsid w:val="00C80777"/>
    <w:rsid w:val="00CC6AD1"/>
    <w:rsid w:val="00CF34F8"/>
    <w:rsid w:val="00E6778A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700</Words>
  <Characters>3994</Characters>
  <Application>Microsoft Office Word</Application>
  <DocSecurity>0</DocSecurity>
  <Lines>33</Lines>
  <Paragraphs>9</Paragraphs>
  <ScaleCrop>false</ScaleCrop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2026-06-25T14:04:00Z</dcterms:created>
  <dcterms:modified xsi:type="dcterms:W3CDTF">2026-06-25T14:04:00Z</dcterms:modified>
</cp:coreProperties>
</file>