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5B78863B" w14:textId="39C275C0" w:rsidR="008C4360"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24C48B8C" w14:textId="77777777" w:rsidR="00DB7416" w:rsidRPr="00DB7416" w:rsidRDefault="00DB7416" w:rsidP="00DB7416">
      <w:pPr>
        <w:spacing w:line="480" w:lineRule="auto"/>
        <w:rPr>
          <w:rFonts w:asciiTheme="majorBidi" w:hAnsiTheme="majorBidi" w:cstheme="majorBidi"/>
          <w:b/>
          <w:bCs/>
        </w:rPr>
      </w:pPr>
      <w:r w:rsidRPr="00DB7416">
        <w:rPr>
          <w:rFonts w:asciiTheme="majorBidi" w:hAnsiTheme="majorBidi" w:cstheme="majorBidi"/>
          <w:b/>
          <w:bCs/>
        </w:rPr>
        <w:lastRenderedPageBreak/>
        <w:t>1. Explain the Concept of Tourist Consumer Behaviour</w:t>
      </w:r>
    </w:p>
    <w:p w14:paraId="232A447D"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Tourist consumer behaviour can be understood as the </w:t>
      </w:r>
      <w:r w:rsidRPr="00DB7416">
        <w:rPr>
          <w:rFonts w:asciiTheme="majorBidi" w:hAnsiTheme="majorBidi" w:cstheme="majorBidi"/>
          <w:b/>
          <w:bCs/>
        </w:rPr>
        <w:t>decision-making and behavioural process through which people select, purchase, experience and evaluate tourism services</w:t>
      </w:r>
      <w:r w:rsidRPr="00DB7416">
        <w:rPr>
          <w:rFonts w:asciiTheme="majorBidi" w:hAnsiTheme="majorBidi" w:cstheme="majorBidi"/>
        </w:rPr>
        <w:t xml:space="preserve">. It seeks to explain not only where people travel but also why they select </w:t>
      </w:r>
      <w:proofErr w:type="gramStart"/>
      <w:r w:rsidRPr="00DB7416">
        <w:rPr>
          <w:rFonts w:asciiTheme="majorBidi" w:hAnsiTheme="majorBidi" w:cstheme="majorBidi"/>
        </w:rPr>
        <w:t>particular destinations</w:t>
      </w:r>
      <w:proofErr w:type="gramEnd"/>
      <w:r w:rsidRPr="00DB7416">
        <w:rPr>
          <w:rFonts w:asciiTheme="majorBidi" w:hAnsiTheme="majorBidi" w:cstheme="majorBidi"/>
        </w:rPr>
        <w:t>, how they obtain information and what makes them satisfied or dissatisfied with their experiences.</w:t>
      </w:r>
    </w:p>
    <w:p w14:paraId="279245F4"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Tourism consumption is particularly complex because a holiday combines several products, including transport, accommodation, food, attractions and entertainment. Furthermore, tourists normally purchase these services before experiencing them. This creates uncertainty and means that destination image, perceived quality, previous experience and information from other travellers can strongly influence decisions.</w:t>
      </w:r>
    </w:p>
    <w:p w14:paraId="3192739D"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Tourist decisions are shaped by personal characteristics such as age, income, family situation, personality and lifestyle. Motivation is equally important. Some tourists travel to escape everyday routines, while others seek adventure, cultural learning, social interaction or personal development. Destination characteristics also influence behaviour. </w:t>
      </w:r>
      <w:proofErr w:type="spellStart"/>
      <w:r w:rsidRPr="00DB7416">
        <w:rPr>
          <w:rFonts w:asciiTheme="majorBidi" w:hAnsiTheme="majorBidi" w:cstheme="majorBidi"/>
        </w:rPr>
        <w:t>Keshavarzian</w:t>
      </w:r>
      <w:proofErr w:type="spellEnd"/>
      <w:r w:rsidRPr="00DB7416">
        <w:rPr>
          <w:rFonts w:asciiTheme="majorBidi" w:hAnsiTheme="majorBidi" w:cstheme="majorBidi"/>
        </w:rPr>
        <w:t xml:space="preserve"> (2017) found that both physical destination attributes and travellers' feelings towards destinations play significant roles in holiday choice.</w:t>
      </w:r>
    </w:p>
    <w:p w14:paraId="5A6A1CEF"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Information search is another major component. A traveller considering Japan, for example, might compare airfare, accommodation, cultural attractions, transportation, safety and reviews before deciding whether the destination provides sufficient value. Risk perception can alter this process because tourists may reject otherwise attractive destinations when perceived health, political or security risks become too high (Karl et al., 2020).</w:t>
      </w:r>
    </w:p>
    <w:p w14:paraId="33E4E0EE"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Technology has made tourist behaviour even more dynamic. Travellers increasingly obtain information through digital platforms and social media. Armutcu et al. (2023) found that </w:t>
      </w:r>
      <w:r w:rsidRPr="00DB7416">
        <w:rPr>
          <w:rFonts w:asciiTheme="majorBidi" w:hAnsiTheme="majorBidi" w:cstheme="majorBidi"/>
        </w:rPr>
        <w:lastRenderedPageBreak/>
        <w:t>tourists' perceptions of online destination content can influence behavioural intentions and that satisfaction can affect revisit and electronic word-of-mouth intentions.</w:t>
      </w:r>
    </w:p>
    <w:p w14:paraId="6E95D7B6"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Finally, tourists evaluate their experiences after travel. A visitor whose experience exceeds expectations may revisit and recommend the destination. Someone experiencing poor service may instead publish a negative review. Understanding tourist consumer behaviour is therefore valuable to hotels, airlines, attractions and destination marketers because it enables them to identify consumer needs, segment tourism markets and develop more appropriate experiences.</w:t>
      </w:r>
    </w:p>
    <w:p w14:paraId="05814560" w14:textId="77777777" w:rsidR="00DB7416" w:rsidRPr="00DB7416" w:rsidRDefault="00DB7416" w:rsidP="00DB7416">
      <w:pPr>
        <w:spacing w:line="480" w:lineRule="auto"/>
        <w:rPr>
          <w:rFonts w:asciiTheme="majorBidi" w:hAnsiTheme="majorBidi" w:cstheme="majorBidi"/>
          <w:b/>
          <w:bCs/>
        </w:rPr>
      </w:pPr>
      <w:r w:rsidRPr="00DB7416">
        <w:rPr>
          <w:rFonts w:asciiTheme="majorBidi" w:hAnsiTheme="majorBidi" w:cstheme="majorBidi"/>
          <w:b/>
          <w:bCs/>
        </w:rPr>
        <w:t>2. Explain the Difference Between Institutionalized and Non-Institutionalized Tourists</w:t>
      </w:r>
    </w:p>
    <w:p w14:paraId="4B4F28D9"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The distinction between institutionalized and non-institutionalized tourism explains how travellers differ in their relationship with the </w:t>
      </w:r>
      <w:r w:rsidRPr="00DB7416">
        <w:rPr>
          <w:rFonts w:asciiTheme="majorBidi" w:hAnsiTheme="majorBidi" w:cstheme="majorBidi"/>
          <w:b/>
          <w:bCs/>
        </w:rPr>
        <w:t>formal tourism system</w:t>
      </w:r>
      <w:r w:rsidRPr="00DB7416">
        <w:rPr>
          <w:rFonts w:asciiTheme="majorBidi" w:hAnsiTheme="majorBidi" w:cstheme="majorBidi"/>
        </w:rPr>
        <w:t>.</w:t>
      </w:r>
    </w:p>
    <w:p w14:paraId="36DEF6C8"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Institutionalized tourists prefer established arrangements and commonly use package holidays, travel agents, mainstream hotels, organised transport and guided tours. Their experience therefore contains greater predictability. This does not necessarily mean that institutionalized tourists have no freedom. An individual tourist may organise certain activities personally while still depending heavily on mainstream tourism infrastructure.</w:t>
      </w:r>
    </w:p>
    <w:p w14:paraId="22AE2A5A"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For example, a couple booking a </w:t>
      </w:r>
      <w:r w:rsidRPr="00DB7416">
        <w:rPr>
          <w:rFonts w:asciiTheme="majorBidi" w:hAnsiTheme="majorBidi" w:cstheme="majorBidi"/>
          <w:b/>
          <w:bCs/>
        </w:rPr>
        <w:t>seven-night all-inclusive holiday in Dubai</w:t>
      </w:r>
      <w:r w:rsidRPr="00DB7416">
        <w:rPr>
          <w:rFonts w:asciiTheme="majorBidi" w:hAnsiTheme="majorBidi" w:cstheme="majorBidi"/>
        </w:rPr>
        <w:t xml:space="preserve"> through a tour company represents institutionalized tourism. Their flights, hotel, airport transfers and several excursions are arranged before departure. The couple therefore faces relatively little uncertainty.</w:t>
      </w:r>
    </w:p>
    <w:p w14:paraId="0E9B946B"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Non-institutionalized tourists seek greater autonomy. They may travel without fixed itineraries, choose locally operated accommodation and make decisions after reaching the destination. They generally accept more uncertainty in return for flexibility and novelty.</w:t>
      </w:r>
    </w:p>
    <w:p w14:paraId="0199788F"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lastRenderedPageBreak/>
        <w:t>An example would be a backpacker travelling independently across Sri Lanka. Instead of purchasing a package, the traveller books local guesthouses, uses trains and buses, chooses destinations during the journey and spends time in communities outside major resort areas.</w:t>
      </w:r>
    </w:p>
    <w:p w14:paraId="77B2B573"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Cohen's tourism typology distinguishes organised and individual mass tourists from explorers and drifters. However, modern travel behaviour has blurred these traditional boundaries. McCabe et al. (2012) demonstrate that tourist decisions can change dynamically during trips according to location, timing, social composition and stage of travel. Thus, a traveller may behave institutionally for one part of a holiday and independently for another.</w:t>
      </w:r>
    </w:p>
    <w:p w14:paraId="1DE80321"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The central distinction remains that institutionalized tourists generally prioritise </w:t>
      </w:r>
      <w:r w:rsidRPr="00DB7416">
        <w:rPr>
          <w:rFonts w:asciiTheme="majorBidi" w:hAnsiTheme="majorBidi" w:cstheme="majorBidi"/>
          <w:b/>
          <w:bCs/>
        </w:rPr>
        <w:t>structure, convenience and familiarity</w:t>
      </w:r>
      <w:r w:rsidRPr="00DB7416">
        <w:rPr>
          <w:rFonts w:asciiTheme="majorBidi" w:hAnsiTheme="majorBidi" w:cstheme="majorBidi"/>
        </w:rPr>
        <w:t xml:space="preserve">, whereas non-institutionalized tourists generally prioritise </w:t>
      </w:r>
      <w:r w:rsidRPr="00DB7416">
        <w:rPr>
          <w:rFonts w:asciiTheme="majorBidi" w:hAnsiTheme="majorBidi" w:cstheme="majorBidi"/>
          <w:b/>
          <w:bCs/>
        </w:rPr>
        <w:t>independence, spontaneity and exploration</w:t>
      </w:r>
      <w:r w:rsidRPr="00DB7416">
        <w:rPr>
          <w:rFonts w:asciiTheme="majorBidi" w:hAnsiTheme="majorBidi" w:cstheme="majorBidi"/>
        </w:rPr>
        <w:t>.</w:t>
      </w:r>
    </w:p>
    <w:p w14:paraId="68CCBBDD" w14:textId="1C9F3191" w:rsidR="00DB7416" w:rsidRPr="00DB7416" w:rsidRDefault="00DB7416" w:rsidP="00DB7416">
      <w:pPr>
        <w:spacing w:line="480" w:lineRule="auto"/>
        <w:rPr>
          <w:rFonts w:asciiTheme="majorBidi" w:hAnsiTheme="majorBidi" w:cstheme="majorBidi"/>
          <w:b/>
          <w:bCs/>
        </w:rPr>
      </w:pPr>
      <w:r w:rsidRPr="00DB7416">
        <w:rPr>
          <w:rFonts w:asciiTheme="majorBidi" w:hAnsiTheme="majorBidi" w:cstheme="majorBidi"/>
          <w:b/>
          <w:bCs/>
        </w:rPr>
        <w:t xml:space="preserve">References </w:t>
      </w:r>
    </w:p>
    <w:p w14:paraId="114FF3F1"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Armutcu, B., Tan, A., Amponsah, M., Parida, S., &amp; Ramkissoon, H. (2023). Tourist behaviour: The role of digital marketing and social media. </w:t>
      </w:r>
      <w:r w:rsidRPr="00DB7416">
        <w:rPr>
          <w:rFonts w:asciiTheme="majorBidi" w:hAnsiTheme="majorBidi" w:cstheme="majorBidi"/>
          <w:i/>
          <w:iCs/>
        </w:rPr>
        <w:t xml:space="preserve">Acta </w:t>
      </w:r>
      <w:proofErr w:type="spellStart"/>
      <w:r w:rsidRPr="00DB7416">
        <w:rPr>
          <w:rFonts w:asciiTheme="majorBidi" w:hAnsiTheme="majorBidi" w:cstheme="majorBidi"/>
          <w:i/>
          <w:iCs/>
        </w:rPr>
        <w:t>Psychologica</w:t>
      </w:r>
      <w:proofErr w:type="spellEnd"/>
      <w:r w:rsidRPr="00DB7416">
        <w:rPr>
          <w:rFonts w:asciiTheme="majorBidi" w:hAnsiTheme="majorBidi" w:cstheme="majorBidi"/>
          <w:i/>
          <w:iCs/>
        </w:rPr>
        <w:t>, 240</w:t>
      </w:r>
      <w:r w:rsidRPr="00DB7416">
        <w:rPr>
          <w:rFonts w:asciiTheme="majorBidi" w:hAnsiTheme="majorBidi" w:cstheme="majorBidi"/>
        </w:rPr>
        <w:t xml:space="preserve">, 104025. </w:t>
      </w:r>
      <w:hyperlink r:id="rId6" w:tgtFrame="_new" w:history="1">
        <w:r w:rsidRPr="00DB7416">
          <w:rPr>
            <w:rStyle w:val="Hyperlink"/>
            <w:rFonts w:asciiTheme="majorBidi" w:hAnsiTheme="majorBidi" w:cstheme="majorBidi"/>
          </w:rPr>
          <w:t>https://doi.org/10.1016/j.actpsy.2023.104025</w:t>
        </w:r>
      </w:hyperlink>
      <w:r w:rsidRPr="00DB7416">
        <w:rPr>
          <w:rFonts w:asciiTheme="majorBidi" w:hAnsiTheme="majorBidi" w:cstheme="majorBidi"/>
        </w:rPr>
        <w:t xml:space="preserve"> </w:t>
      </w:r>
    </w:p>
    <w:p w14:paraId="434E122F"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Karl, M., Muskat, B., &amp; Ritchie, B. W. (2020). Which travel risks are more salient for destination choice? An examination of the tourist's decision-making process. </w:t>
      </w:r>
      <w:r w:rsidRPr="00DB7416">
        <w:rPr>
          <w:rFonts w:asciiTheme="majorBidi" w:hAnsiTheme="majorBidi" w:cstheme="majorBidi"/>
          <w:i/>
          <w:iCs/>
        </w:rPr>
        <w:t>Journal of Destination Marketing &amp; Management, 18</w:t>
      </w:r>
      <w:r w:rsidRPr="00DB7416">
        <w:rPr>
          <w:rFonts w:asciiTheme="majorBidi" w:hAnsiTheme="majorBidi" w:cstheme="majorBidi"/>
        </w:rPr>
        <w:t xml:space="preserve">, 100487. https://doi.org/10.1016/j.jdmm.2020.100487 </w:t>
      </w:r>
    </w:p>
    <w:p w14:paraId="251C604E" w14:textId="77777777" w:rsidR="00DB7416" w:rsidRPr="00DB7416" w:rsidRDefault="00DB7416" w:rsidP="00DB7416">
      <w:pPr>
        <w:spacing w:line="480" w:lineRule="auto"/>
        <w:rPr>
          <w:rFonts w:asciiTheme="majorBidi" w:hAnsiTheme="majorBidi" w:cstheme="majorBidi"/>
        </w:rPr>
      </w:pPr>
      <w:proofErr w:type="spellStart"/>
      <w:r w:rsidRPr="00DB7416">
        <w:rPr>
          <w:rFonts w:asciiTheme="majorBidi" w:hAnsiTheme="majorBidi" w:cstheme="majorBidi"/>
        </w:rPr>
        <w:t>Keshavarzian</w:t>
      </w:r>
      <w:proofErr w:type="spellEnd"/>
      <w:r w:rsidRPr="00DB7416">
        <w:rPr>
          <w:rFonts w:asciiTheme="majorBidi" w:hAnsiTheme="majorBidi" w:cstheme="majorBidi"/>
        </w:rPr>
        <w:t xml:space="preserve">, P. (2017). </w:t>
      </w:r>
      <w:proofErr w:type="gramStart"/>
      <w:r w:rsidRPr="00DB7416">
        <w:rPr>
          <w:rFonts w:asciiTheme="majorBidi" w:hAnsiTheme="majorBidi" w:cstheme="majorBidi"/>
        </w:rPr>
        <w:t>A qualitative research</w:t>
      </w:r>
      <w:proofErr w:type="gramEnd"/>
      <w:r w:rsidRPr="00DB7416">
        <w:rPr>
          <w:rFonts w:asciiTheme="majorBidi" w:hAnsiTheme="majorBidi" w:cstheme="majorBidi"/>
        </w:rPr>
        <w:t xml:space="preserve"> on travellers' destination choice behaviour. </w:t>
      </w:r>
      <w:r w:rsidRPr="00DB7416">
        <w:rPr>
          <w:rFonts w:asciiTheme="majorBidi" w:hAnsiTheme="majorBidi" w:cstheme="majorBidi"/>
          <w:i/>
          <w:iCs/>
        </w:rPr>
        <w:t>International Journal of Tourism Research, 19</w:t>
      </w:r>
      <w:r w:rsidRPr="00DB7416">
        <w:rPr>
          <w:rFonts w:asciiTheme="majorBidi" w:hAnsiTheme="majorBidi" w:cstheme="majorBidi"/>
        </w:rPr>
        <w:t xml:space="preserve">(5), 546–556. https://doi.org/10.1002/jtr.2128 </w:t>
      </w:r>
    </w:p>
    <w:p w14:paraId="4CA751E6" w14:textId="77777777" w:rsidR="00DB7416" w:rsidRPr="00DB7416" w:rsidRDefault="00DB7416" w:rsidP="00DB7416">
      <w:pPr>
        <w:spacing w:line="480" w:lineRule="auto"/>
        <w:rPr>
          <w:rFonts w:asciiTheme="majorBidi" w:hAnsiTheme="majorBidi" w:cstheme="majorBidi"/>
        </w:rPr>
      </w:pPr>
      <w:r w:rsidRPr="00DB7416">
        <w:rPr>
          <w:rFonts w:asciiTheme="majorBidi" w:hAnsiTheme="majorBidi" w:cstheme="majorBidi"/>
        </w:rPr>
        <w:t xml:space="preserve">McCabe, S., Li, C., &amp; Chen, Z. (2012). Dynamic in-destination decision-making: An adjustment model. </w:t>
      </w:r>
      <w:r w:rsidRPr="00DB7416">
        <w:rPr>
          <w:rFonts w:asciiTheme="majorBidi" w:hAnsiTheme="majorBidi" w:cstheme="majorBidi"/>
          <w:i/>
          <w:iCs/>
        </w:rPr>
        <w:t>Tourism Management, 33</w:t>
      </w:r>
      <w:r w:rsidRPr="00DB7416">
        <w:rPr>
          <w:rFonts w:asciiTheme="majorBidi" w:hAnsiTheme="majorBidi" w:cstheme="majorBidi"/>
        </w:rPr>
        <w:t xml:space="preserve">(3), 635–645. </w:t>
      </w:r>
      <w:hyperlink r:id="rId7" w:tgtFrame="_new" w:history="1">
        <w:r w:rsidRPr="00DB7416">
          <w:rPr>
            <w:rStyle w:val="Hyperlink"/>
            <w:rFonts w:asciiTheme="majorBidi" w:hAnsiTheme="majorBidi" w:cstheme="majorBidi"/>
          </w:rPr>
          <w:t>https://doi.org/10.1016/j.tourman.2011.07.005</w:t>
        </w:r>
      </w:hyperlink>
      <w:r w:rsidRPr="00DB7416">
        <w:rPr>
          <w:rFonts w:asciiTheme="majorBidi" w:hAnsiTheme="majorBidi" w:cstheme="majorBidi"/>
        </w:rPr>
        <w:t xml:space="preserve"> </w:t>
      </w:r>
    </w:p>
    <w:p w14:paraId="43B6DF21" w14:textId="77777777" w:rsidR="00DB7416" w:rsidRPr="00215386" w:rsidRDefault="00DB7416" w:rsidP="009969E1">
      <w:pPr>
        <w:spacing w:line="480" w:lineRule="auto"/>
        <w:rPr>
          <w:rFonts w:asciiTheme="majorBidi" w:hAnsiTheme="majorBidi" w:cstheme="majorBidi"/>
          <w:lang w:val="en-US"/>
        </w:rPr>
      </w:pPr>
    </w:p>
    <w:sectPr w:rsidR="00DB7416"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44C6D40-43E3-427B-9231-7079E56063A8}"/>
    <w:embedBold r:id="rId2" w:fontKey="{7D546561-CFEB-4B21-A8EE-64C2A95A7019}"/>
    <w:embedItalic r:id="rId3" w:fontKey="{DE4401C1-12C0-4F35-A568-E87D41A68AE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C4906E2-4CCF-4904-BF40-F4773C199D4D}"/>
  </w:font>
  <w:font w:name="Calibri Light">
    <w:panose1 w:val="020F0302020204030204"/>
    <w:charset w:val="00"/>
    <w:family w:val="swiss"/>
    <w:pitch w:val="variable"/>
    <w:sig w:usb0="E4002EFF" w:usb1="C000247B" w:usb2="00000009" w:usb3="00000000" w:csb0="000001FF" w:csb1="00000000"/>
    <w:embedRegular r:id="rId5" w:fontKey="{A5E1D9E6-208F-469A-88F1-CCAE778B346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84E8A"/>
    <w:rsid w:val="003C5D74"/>
    <w:rsid w:val="003D1074"/>
    <w:rsid w:val="00426865"/>
    <w:rsid w:val="00477CAA"/>
    <w:rsid w:val="00502E29"/>
    <w:rsid w:val="00507879"/>
    <w:rsid w:val="005E458B"/>
    <w:rsid w:val="00672345"/>
    <w:rsid w:val="006E036E"/>
    <w:rsid w:val="00762633"/>
    <w:rsid w:val="00844EC2"/>
    <w:rsid w:val="008516FE"/>
    <w:rsid w:val="008C4360"/>
    <w:rsid w:val="00965EED"/>
    <w:rsid w:val="0099651A"/>
    <w:rsid w:val="009969E1"/>
    <w:rsid w:val="009C1D0A"/>
    <w:rsid w:val="00A044F7"/>
    <w:rsid w:val="00A505F4"/>
    <w:rsid w:val="00A8150E"/>
    <w:rsid w:val="00B20343"/>
    <w:rsid w:val="00B85EA7"/>
    <w:rsid w:val="00BE65DD"/>
    <w:rsid w:val="00C45786"/>
    <w:rsid w:val="00C612A4"/>
    <w:rsid w:val="00CC6AD1"/>
    <w:rsid w:val="00DB7416"/>
    <w:rsid w:val="00E11BDD"/>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8C4360"/>
    <w:rPr>
      <w:color w:val="0563C1" w:themeColor="hyperlink"/>
      <w:u w:val="single"/>
    </w:rPr>
  </w:style>
  <w:style w:type="character" w:styleId="UnresolvedMention">
    <w:name w:val="Unresolved Mention"/>
    <w:basedOn w:val="DefaultParagraphFont"/>
    <w:uiPriority w:val="99"/>
    <w:semiHidden/>
    <w:unhideWhenUsed/>
    <w:rsid w:val="008C4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tourman.2011.07.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ctpsy.2023.104025?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912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3</cp:revision>
  <dcterms:created xsi:type="dcterms:W3CDTF">2026-09-04T15:47:00Z</dcterms:created>
  <dcterms:modified xsi:type="dcterms:W3CDTF">2026-09-04T15:50:00Z</dcterms:modified>
</cp:coreProperties>
</file>