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2F0B4C">
      <w:pPr>
        <w:rPr>
          <w:rFonts w:ascii="Times New Roman" w:hAnsi="Times New Roman" w:cs="Times New Roman"/>
          <w:b/>
          <w:bCs/>
          <w:sz w:val="36"/>
          <w:szCs w:val="36"/>
          <w:lang w:val="en-AU"/>
        </w:rPr>
      </w:pPr>
    </w:p>
    <w:p w14:paraId="5DA6C6D3">
      <w:pPr>
        <w:rPr>
          <w:rFonts w:ascii="Times New Roman" w:hAnsi="Times New Roman" w:cs="Times New Roman"/>
          <w:b/>
          <w:bCs/>
          <w:sz w:val="36"/>
          <w:szCs w:val="36"/>
          <w:lang w:val="en-AU"/>
        </w:rPr>
      </w:pPr>
    </w:p>
    <w:p w14:paraId="79335F0B">
      <w:pPr>
        <w:rPr>
          <w:rFonts w:ascii="Times New Roman" w:hAnsi="Times New Roman" w:cs="Times New Roman"/>
          <w:b/>
          <w:bCs/>
          <w:sz w:val="36"/>
          <w:szCs w:val="36"/>
          <w:lang w:val="en-AU"/>
        </w:rPr>
      </w:pPr>
    </w:p>
    <w:p w14:paraId="1C46F712">
      <w:pPr>
        <w:rPr>
          <w:lang w:val="en-AU"/>
        </w:rPr>
      </w:pPr>
      <w:r>
        <w:rPr>
          <w:rFonts w:ascii="Times New Roman" w:hAnsi="Times New Roman" w:cs="Times New Roman"/>
          <w:b/>
          <w:bCs/>
          <w:sz w:val="36"/>
          <w:szCs w:val="36"/>
          <w:lang w:val="en-AU"/>
        </w:rPr>
        <w:drawing>
          <wp:inline distT="0" distB="0" distL="0" distR="0">
            <wp:extent cx="5731510" cy="10369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1037130"/>
                    </a:xfrm>
                    <a:prstGeom prst="rect">
                      <a:avLst/>
                    </a:prstGeom>
                    <a:noFill/>
                  </pic:spPr>
                </pic:pic>
              </a:graphicData>
            </a:graphic>
          </wp:inline>
        </w:drawing>
      </w:r>
    </w:p>
    <w:p w14:paraId="69813638">
      <w:pPr>
        <w:rPr>
          <w:lang w:val="en-AU"/>
        </w:rPr>
      </w:pPr>
    </w:p>
    <w:p w14:paraId="1D09E387">
      <w:pPr>
        <w:rPr>
          <w:lang w:val="en-AU"/>
        </w:rPr>
      </w:pPr>
    </w:p>
    <w:p w14:paraId="1F6A7C13">
      <w:pPr>
        <w:rPr>
          <w:lang w:val="en-AU"/>
        </w:rPr>
      </w:pPr>
    </w:p>
    <w:p w14:paraId="1EB45DA4">
      <w:pPr>
        <w:rPr>
          <w:lang w:val="en-AU"/>
        </w:rPr>
      </w:pPr>
    </w:p>
    <w:p w14:paraId="0E46B4F4">
      <w:pPr>
        <w:rPr>
          <w:lang w:val="en-AU"/>
        </w:rPr>
      </w:pPr>
    </w:p>
    <w:p w14:paraId="69374C40">
      <w:pPr>
        <w:rPr>
          <w:lang w:val="en-AU"/>
        </w:rPr>
      </w:pPr>
    </w:p>
    <w:p w14:paraId="3AC7C46F">
      <w:pPr>
        <w:rPr>
          <w:lang w:val="en-AU"/>
        </w:rPr>
      </w:pPr>
    </w:p>
    <w:p w14:paraId="5038E060">
      <w:pPr>
        <w:rPr>
          <w:lang w:val="en-AU"/>
        </w:rPr>
      </w:pPr>
    </w:p>
    <w:p w14:paraId="0D56F465">
      <w:pPr>
        <w:jc w:val="center"/>
        <w:rPr>
          <w:lang w:val="en-AU"/>
        </w:rPr>
      </w:pPr>
      <w:r>
        <w:rPr>
          <w:rFonts w:ascii="Times New Roman" w:hAnsi="Times New Roman" w:cs="Times New Roman"/>
          <w:b/>
          <w:bCs/>
          <w:sz w:val="36"/>
          <w:szCs w:val="36"/>
          <w:lang w:val="en-AU"/>
        </w:rPr>
        <w:t>Crafting a Digital Communication Strategy for Emerging Tourism Hubs: Engaging and Supporting the Global Digital Nomad Community</w:t>
      </w:r>
    </w:p>
    <w:p w14:paraId="5BEA6C3B">
      <w:pPr>
        <w:jc w:val="center"/>
        <w:rPr>
          <w:lang w:val="en-AU"/>
        </w:rPr>
      </w:pPr>
    </w:p>
    <w:p w14:paraId="4B46ED59">
      <w:pPr>
        <w:spacing w:line="360" w:lineRule="auto"/>
        <w:jc w:val="center"/>
        <w:rPr>
          <w:rFonts w:ascii="Times New Roman" w:hAnsi="Times New Roman" w:cs="Times New Roman"/>
          <w:b/>
          <w:bCs/>
          <w:sz w:val="36"/>
          <w:szCs w:val="36"/>
          <w:lang w:val="en-AU"/>
        </w:rPr>
      </w:pPr>
    </w:p>
    <w:p w14:paraId="7F1B40F7">
      <w:pPr>
        <w:spacing w:line="360" w:lineRule="auto"/>
        <w:jc w:val="both"/>
        <w:rPr>
          <w:rFonts w:ascii="Times New Roman" w:hAnsi="Times New Roman" w:cs="Times New Roman"/>
          <w:sz w:val="24"/>
          <w:szCs w:val="24"/>
          <w:lang w:val="en-AU"/>
        </w:rPr>
      </w:pPr>
    </w:p>
    <w:p w14:paraId="55FC179B">
      <w:pPr>
        <w:spacing w:line="360" w:lineRule="auto"/>
        <w:jc w:val="center"/>
        <w:rPr>
          <w:rFonts w:ascii="Times New Roman" w:hAnsi="Times New Roman" w:cs="Times New Roman"/>
          <w:sz w:val="24"/>
          <w:szCs w:val="24"/>
          <w:lang w:val="en-AU"/>
        </w:rPr>
      </w:pPr>
    </w:p>
    <w:p w14:paraId="2131F0BA">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 xml:space="preserve">Student Name: Ajay </w:t>
      </w:r>
      <w:r>
        <w:rPr>
          <w:rFonts w:hint="default" w:ascii="Times New Roman" w:hAnsi="Times New Roman" w:cs="Times New Roman"/>
          <w:b/>
          <w:bCs/>
          <w:sz w:val="36"/>
          <w:szCs w:val="36"/>
          <w:lang w:val="de-DE"/>
        </w:rPr>
        <w:t>Kumar</w:t>
      </w:r>
    </w:p>
    <w:p w14:paraId="0119C5F6">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ID:</w:t>
      </w:r>
      <w:r>
        <w:rPr>
          <w:rFonts w:hint="default" w:ascii="Times New Roman" w:hAnsi="Times New Roman" w:cs="Times New Roman"/>
          <w:b/>
          <w:bCs/>
          <w:sz w:val="36"/>
          <w:szCs w:val="36"/>
          <w:lang w:val="de-DE"/>
        </w:rPr>
        <w:t xml:space="preserve"> DE240022</w:t>
      </w:r>
    </w:p>
    <w:p w14:paraId="24A1A391">
      <w:pPr>
        <w:spacing w:line="360" w:lineRule="auto"/>
        <w:jc w:val="center"/>
        <w:rPr>
          <w:rFonts w:hint="default" w:ascii="Times New Roman" w:hAnsi="Times New Roman" w:cs="Times New Roman"/>
          <w:b/>
          <w:bCs/>
          <w:sz w:val="36"/>
          <w:szCs w:val="36"/>
          <w:lang w:val="de-DE"/>
        </w:rPr>
      </w:pPr>
      <w:r>
        <w:rPr>
          <w:rFonts w:hint="default" w:ascii="Times New Roman" w:hAnsi="Times New Roman" w:cs="Times New Roman"/>
          <w:b/>
          <w:bCs/>
          <w:sz w:val="36"/>
          <w:szCs w:val="36"/>
          <w:lang w:val="de-DE"/>
        </w:rPr>
        <w:t>Due Date :28</w:t>
      </w:r>
      <w:r>
        <w:rPr>
          <w:rFonts w:hint="default" w:ascii="Times New Roman" w:hAnsi="Times New Roman" w:cs="Times New Roman"/>
          <w:b/>
          <w:bCs/>
          <w:sz w:val="36"/>
          <w:szCs w:val="36"/>
          <w:vertAlign w:val="superscript"/>
          <w:lang w:val="de-DE"/>
        </w:rPr>
        <w:t>th</w:t>
      </w:r>
      <w:r>
        <w:rPr>
          <w:rFonts w:hint="default" w:ascii="Times New Roman" w:hAnsi="Times New Roman" w:cs="Times New Roman"/>
          <w:b/>
          <w:bCs/>
          <w:sz w:val="36"/>
          <w:szCs w:val="36"/>
          <w:lang w:val="de-DE"/>
        </w:rPr>
        <w:t xml:space="preserve"> of May</w:t>
      </w:r>
    </w:p>
    <w:p w14:paraId="28492650">
      <w:pPr>
        <w:jc w:val="center"/>
      </w:pPr>
    </w:p>
    <w:p w14:paraId="52DBAE20"/>
    <w:p w14:paraId="204D4684"/>
    <w:p w14:paraId="6CB3C50D"/>
    <w:p w14:paraId="3274A031"/>
    <w:p w14:paraId="04C11CCD"/>
    <w:p w14:paraId="1BE27946"/>
    <w:sdt>
      <w:sdtPr>
        <w:rPr>
          <w:rFonts w:asciiTheme="minorHAnsi" w:hAnsiTheme="minorHAnsi" w:eastAsiaTheme="minorHAnsi" w:cstheme="minorBidi"/>
          <w:color w:val="auto"/>
          <w:sz w:val="22"/>
          <w:szCs w:val="22"/>
        </w:rPr>
        <w:id w:val="877824372"/>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3CB6EE5B">
          <w:pPr>
            <w:pStyle w:val="17"/>
          </w:pPr>
          <w:r>
            <w:t>Contents</w:t>
          </w:r>
        </w:p>
        <w:p w14:paraId="074EC7B7">
          <w:pPr>
            <w:pStyle w:val="10"/>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"_Toc199190171" </w:instrText>
          </w:r>
          <w:r>
            <w:fldChar w:fldCharType="separate"/>
          </w:r>
          <w:r>
            <w:rPr>
              <w:rStyle w:val="8"/>
              <w:lang w:val="en-AU"/>
            </w:rPr>
            <w:t>1. Introduction</w:t>
          </w:r>
          <w:r>
            <w:tab/>
          </w:r>
          <w:r>
            <w:fldChar w:fldCharType="begin"/>
          </w:r>
          <w:r>
            <w:instrText xml:space="preserve"> PAGEREF _Toc199190171 \h </w:instrText>
          </w:r>
          <w:r>
            <w:fldChar w:fldCharType="separate"/>
          </w:r>
          <w:r>
            <w:t>3</w:t>
          </w:r>
          <w:r>
            <w:fldChar w:fldCharType="end"/>
          </w:r>
          <w:r>
            <w:fldChar w:fldCharType="end"/>
          </w:r>
        </w:p>
        <w:p w14:paraId="74506077">
          <w:pPr>
            <w:pStyle w:val="10"/>
            <w:tabs>
              <w:tab w:val="right" w:leader="dot" w:pos="9016"/>
            </w:tabs>
            <w:rPr>
              <w:rFonts w:eastAsiaTheme="minorEastAsia"/>
              <w:lang w:val="en-IN" w:eastAsia="en-IN"/>
            </w:rPr>
          </w:pPr>
          <w:r>
            <w:fldChar w:fldCharType="begin"/>
          </w:r>
          <w:r>
            <w:instrText xml:space="preserve"> HYPERLINK \l "_Toc199190172" </w:instrText>
          </w:r>
          <w:r>
            <w:fldChar w:fldCharType="separate"/>
          </w:r>
          <w:r>
            <w:rPr>
              <w:rStyle w:val="8"/>
              <w:lang w:val="en-AU"/>
            </w:rPr>
            <w:t>2. Email Flows</w:t>
          </w:r>
          <w:r>
            <w:tab/>
          </w:r>
          <w:r>
            <w:fldChar w:fldCharType="begin"/>
          </w:r>
          <w:r>
            <w:instrText xml:space="preserve"> PAGEREF _Toc199190172 \h </w:instrText>
          </w:r>
          <w:r>
            <w:fldChar w:fldCharType="separate"/>
          </w:r>
          <w:r>
            <w:t>5</w:t>
          </w:r>
          <w:r>
            <w:fldChar w:fldCharType="end"/>
          </w:r>
          <w:r>
            <w:fldChar w:fldCharType="end"/>
          </w:r>
        </w:p>
        <w:p w14:paraId="4A919CC8">
          <w:pPr>
            <w:pStyle w:val="11"/>
            <w:tabs>
              <w:tab w:val="right" w:leader="dot" w:pos="9016"/>
            </w:tabs>
            <w:rPr>
              <w:rFonts w:eastAsiaTheme="minorEastAsia"/>
              <w:lang w:val="en-IN" w:eastAsia="en-IN"/>
            </w:rPr>
          </w:pPr>
          <w:r>
            <w:fldChar w:fldCharType="begin"/>
          </w:r>
          <w:r>
            <w:instrText xml:space="preserve"> HYPERLINK \l "_Toc199190173" </w:instrText>
          </w:r>
          <w:r>
            <w:fldChar w:fldCharType="separate"/>
          </w:r>
          <w:r>
            <w:rPr>
              <w:rStyle w:val="8"/>
              <w:lang w:val="en-AU"/>
            </w:rPr>
            <w:t>2.1 Welcome/Onboarding Sequence</w:t>
          </w:r>
          <w:r>
            <w:tab/>
          </w:r>
          <w:r>
            <w:fldChar w:fldCharType="begin"/>
          </w:r>
          <w:r>
            <w:instrText xml:space="preserve"> PAGEREF _Toc199190173 \h </w:instrText>
          </w:r>
          <w:r>
            <w:fldChar w:fldCharType="separate"/>
          </w:r>
          <w:r>
            <w:t>5</w:t>
          </w:r>
          <w:r>
            <w:fldChar w:fldCharType="end"/>
          </w:r>
          <w:r>
            <w:fldChar w:fldCharType="end"/>
          </w:r>
        </w:p>
        <w:p w14:paraId="4F387FB2">
          <w:pPr>
            <w:pStyle w:val="11"/>
            <w:tabs>
              <w:tab w:val="right" w:leader="dot" w:pos="9016"/>
            </w:tabs>
            <w:rPr>
              <w:rFonts w:eastAsiaTheme="minorEastAsia"/>
              <w:lang w:val="en-IN" w:eastAsia="en-IN"/>
            </w:rPr>
          </w:pPr>
          <w:r>
            <w:fldChar w:fldCharType="begin"/>
          </w:r>
          <w:r>
            <w:instrText xml:space="preserve"> HYPERLINK \l "_Toc199190174" </w:instrText>
          </w:r>
          <w:r>
            <w:fldChar w:fldCharType="separate"/>
          </w:r>
          <w:r>
            <w:rPr>
              <w:rStyle w:val="8"/>
              <w:lang w:val="en-AU"/>
            </w:rPr>
            <w:t>2.2 Community-Building Drip Campaign</w:t>
          </w:r>
          <w:r>
            <w:tab/>
          </w:r>
          <w:r>
            <w:fldChar w:fldCharType="begin"/>
          </w:r>
          <w:r>
            <w:instrText xml:space="preserve"> PAGEREF _Toc199190174 \h </w:instrText>
          </w:r>
          <w:r>
            <w:fldChar w:fldCharType="separate"/>
          </w:r>
          <w:r>
            <w:t>6</w:t>
          </w:r>
          <w:r>
            <w:fldChar w:fldCharType="end"/>
          </w:r>
          <w:r>
            <w:fldChar w:fldCharType="end"/>
          </w:r>
        </w:p>
        <w:p w14:paraId="45879DBD">
          <w:pPr>
            <w:pStyle w:val="11"/>
            <w:tabs>
              <w:tab w:val="right" w:leader="dot" w:pos="9016"/>
            </w:tabs>
            <w:rPr>
              <w:rFonts w:eastAsiaTheme="minorEastAsia"/>
              <w:lang w:val="en-IN" w:eastAsia="en-IN"/>
            </w:rPr>
          </w:pPr>
          <w:r>
            <w:fldChar w:fldCharType="begin"/>
          </w:r>
          <w:r>
            <w:instrText xml:space="preserve"> HYPERLINK \l "_Toc199190175" </w:instrText>
          </w:r>
          <w:r>
            <w:fldChar w:fldCharType="separate"/>
          </w:r>
          <w:r>
            <w:rPr>
              <w:rStyle w:val="8"/>
              <w:lang w:val="en-AU"/>
            </w:rPr>
            <w:t>2.3 Departure &amp; Feedback Loop</w:t>
          </w:r>
          <w:r>
            <w:tab/>
          </w:r>
          <w:r>
            <w:fldChar w:fldCharType="begin"/>
          </w:r>
          <w:r>
            <w:instrText xml:space="preserve"> PAGEREF _Toc199190175 \h </w:instrText>
          </w:r>
          <w:r>
            <w:fldChar w:fldCharType="separate"/>
          </w:r>
          <w:r>
            <w:t>7</w:t>
          </w:r>
          <w:r>
            <w:fldChar w:fldCharType="end"/>
          </w:r>
          <w:r>
            <w:fldChar w:fldCharType="end"/>
          </w:r>
        </w:p>
        <w:p w14:paraId="7EBB3FD6">
          <w:pPr>
            <w:pStyle w:val="10"/>
            <w:tabs>
              <w:tab w:val="right" w:leader="dot" w:pos="9016"/>
            </w:tabs>
            <w:rPr>
              <w:rFonts w:eastAsiaTheme="minorEastAsia"/>
              <w:lang w:val="en-IN" w:eastAsia="en-IN"/>
            </w:rPr>
          </w:pPr>
          <w:r>
            <w:fldChar w:fldCharType="begin"/>
          </w:r>
          <w:r>
            <w:instrText xml:space="preserve"> HYPERLINK \l "_Toc199190176" </w:instrText>
          </w:r>
          <w:r>
            <w:fldChar w:fldCharType="separate"/>
          </w:r>
          <w:r>
            <w:rPr>
              <w:rStyle w:val="8"/>
              <w:lang w:val="en-AU"/>
            </w:rPr>
            <w:t>3. Multilingual Chatbot Scripts</w:t>
          </w:r>
          <w:r>
            <w:tab/>
          </w:r>
          <w:r>
            <w:fldChar w:fldCharType="begin"/>
          </w:r>
          <w:r>
            <w:instrText xml:space="preserve"> PAGEREF _Toc199190176 \h </w:instrText>
          </w:r>
          <w:r>
            <w:fldChar w:fldCharType="separate"/>
          </w:r>
          <w:r>
            <w:t>7</w:t>
          </w:r>
          <w:r>
            <w:fldChar w:fldCharType="end"/>
          </w:r>
          <w:r>
            <w:fldChar w:fldCharType="end"/>
          </w:r>
        </w:p>
        <w:p w14:paraId="708CEF52">
          <w:pPr>
            <w:pStyle w:val="11"/>
            <w:tabs>
              <w:tab w:val="right" w:leader="dot" w:pos="9016"/>
            </w:tabs>
            <w:rPr>
              <w:rFonts w:eastAsiaTheme="minorEastAsia"/>
              <w:lang w:val="en-IN" w:eastAsia="en-IN"/>
            </w:rPr>
          </w:pPr>
          <w:r>
            <w:fldChar w:fldCharType="begin"/>
          </w:r>
          <w:r>
            <w:instrText xml:space="preserve"> HYPERLINK \l "_Toc199190177" </w:instrText>
          </w:r>
          <w:r>
            <w:fldChar w:fldCharType="separate"/>
          </w:r>
          <w:r>
            <w:rPr>
              <w:rStyle w:val="8"/>
              <w:lang w:val="en-AU"/>
            </w:rPr>
            <w:t>3.1 Use-Case Scenarios</w:t>
          </w:r>
          <w:r>
            <w:tab/>
          </w:r>
          <w:r>
            <w:fldChar w:fldCharType="begin"/>
          </w:r>
          <w:r>
            <w:instrText xml:space="preserve"> PAGEREF _Toc199190177 \h </w:instrText>
          </w:r>
          <w:r>
            <w:fldChar w:fldCharType="separate"/>
          </w:r>
          <w:r>
            <w:t>7</w:t>
          </w:r>
          <w:r>
            <w:fldChar w:fldCharType="end"/>
          </w:r>
          <w:r>
            <w:fldChar w:fldCharType="end"/>
          </w:r>
        </w:p>
        <w:p w14:paraId="69C62348">
          <w:pPr>
            <w:pStyle w:val="11"/>
            <w:tabs>
              <w:tab w:val="right" w:leader="dot" w:pos="9016"/>
            </w:tabs>
            <w:rPr>
              <w:rFonts w:eastAsiaTheme="minorEastAsia"/>
              <w:lang w:val="en-IN" w:eastAsia="en-IN"/>
            </w:rPr>
          </w:pPr>
          <w:r>
            <w:fldChar w:fldCharType="begin"/>
          </w:r>
          <w:r>
            <w:instrText xml:space="preserve"> HYPERLINK \l "_Toc199190178" </w:instrText>
          </w:r>
          <w:r>
            <w:fldChar w:fldCharType="separate"/>
          </w:r>
          <w:r>
            <w:rPr>
              <w:rStyle w:val="8"/>
              <w:lang w:val="en-AU"/>
            </w:rPr>
            <w:t>3.2 Language Variants &amp; Localisation Notes</w:t>
          </w:r>
          <w:r>
            <w:tab/>
          </w:r>
          <w:r>
            <w:fldChar w:fldCharType="begin"/>
          </w:r>
          <w:r>
            <w:instrText xml:space="preserve"> PAGEREF _Toc199190178 \h </w:instrText>
          </w:r>
          <w:r>
            <w:fldChar w:fldCharType="separate"/>
          </w:r>
          <w:r>
            <w:t>7</w:t>
          </w:r>
          <w:r>
            <w:fldChar w:fldCharType="end"/>
          </w:r>
          <w:r>
            <w:fldChar w:fldCharType="end"/>
          </w:r>
        </w:p>
        <w:p w14:paraId="71448327">
          <w:pPr>
            <w:pStyle w:val="10"/>
            <w:tabs>
              <w:tab w:val="right" w:leader="dot" w:pos="9016"/>
            </w:tabs>
            <w:rPr>
              <w:rFonts w:eastAsiaTheme="minorEastAsia"/>
              <w:lang w:val="en-IN" w:eastAsia="en-IN"/>
            </w:rPr>
          </w:pPr>
          <w:r>
            <w:fldChar w:fldCharType="begin"/>
          </w:r>
          <w:r>
            <w:instrText xml:space="preserve"> HYPERLINK \l "_Toc199190179" </w:instrText>
          </w:r>
          <w:r>
            <w:fldChar w:fldCharType="separate"/>
          </w:r>
          <w:r>
            <w:rPr>
              <w:rStyle w:val="8"/>
              <w:lang w:val="en-AU"/>
            </w:rPr>
            <w:t>4. Web Content</w:t>
          </w:r>
          <w:r>
            <w:tab/>
          </w:r>
          <w:r>
            <w:fldChar w:fldCharType="begin"/>
          </w:r>
          <w:r>
            <w:instrText xml:space="preserve"> PAGEREF _Toc199190179 \h </w:instrText>
          </w:r>
          <w:r>
            <w:fldChar w:fldCharType="separate"/>
          </w:r>
          <w:r>
            <w:t>8</w:t>
          </w:r>
          <w:r>
            <w:fldChar w:fldCharType="end"/>
          </w:r>
          <w:r>
            <w:fldChar w:fldCharType="end"/>
          </w:r>
        </w:p>
        <w:p w14:paraId="6C6874FD">
          <w:pPr>
            <w:pStyle w:val="11"/>
            <w:tabs>
              <w:tab w:val="right" w:leader="dot" w:pos="9016"/>
            </w:tabs>
            <w:rPr>
              <w:rFonts w:eastAsiaTheme="minorEastAsia"/>
              <w:lang w:val="en-IN" w:eastAsia="en-IN"/>
            </w:rPr>
          </w:pPr>
          <w:r>
            <w:fldChar w:fldCharType="begin"/>
          </w:r>
          <w:r>
            <w:instrText xml:space="preserve"> HYPERLINK \l "_Toc199190180" </w:instrText>
          </w:r>
          <w:r>
            <w:fldChar w:fldCharType="separate"/>
          </w:r>
          <w:r>
            <w:rPr>
              <w:rStyle w:val="8"/>
              <w:lang w:val="en-AU"/>
            </w:rPr>
            <w:t>4.1. Hub Landing Page</w:t>
          </w:r>
          <w:r>
            <w:tab/>
          </w:r>
          <w:r>
            <w:fldChar w:fldCharType="begin"/>
          </w:r>
          <w:r>
            <w:instrText xml:space="preserve"> PAGEREF _Toc199190180 \h </w:instrText>
          </w:r>
          <w:r>
            <w:fldChar w:fldCharType="separate"/>
          </w:r>
          <w:r>
            <w:t>8</w:t>
          </w:r>
          <w:r>
            <w:fldChar w:fldCharType="end"/>
          </w:r>
          <w:r>
            <w:fldChar w:fldCharType="end"/>
          </w:r>
        </w:p>
        <w:p w14:paraId="7E5CF7A1">
          <w:pPr>
            <w:pStyle w:val="11"/>
            <w:tabs>
              <w:tab w:val="right" w:leader="dot" w:pos="9016"/>
            </w:tabs>
            <w:rPr>
              <w:rFonts w:eastAsiaTheme="minorEastAsia"/>
              <w:lang w:val="en-IN" w:eastAsia="en-IN"/>
            </w:rPr>
          </w:pPr>
          <w:r>
            <w:fldChar w:fldCharType="begin"/>
          </w:r>
          <w:r>
            <w:instrText xml:space="preserve"> HYPERLINK \l "_Toc199190181" </w:instrText>
          </w:r>
          <w:r>
            <w:fldChar w:fldCharType="separate"/>
          </w:r>
          <w:r>
            <w:rPr>
              <w:rStyle w:val="8"/>
              <w:lang w:val="en-AU"/>
            </w:rPr>
            <w:t>4.2 Resource Hub</w:t>
          </w:r>
          <w:r>
            <w:tab/>
          </w:r>
          <w:r>
            <w:fldChar w:fldCharType="begin"/>
          </w:r>
          <w:r>
            <w:instrText xml:space="preserve"> PAGEREF _Toc199190181 \h </w:instrText>
          </w:r>
          <w:r>
            <w:fldChar w:fldCharType="separate"/>
          </w:r>
          <w:r>
            <w:t>9</w:t>
          </w:r>
          <w:r>
            <w:fldChar w:fldCharType="end"/>
          </w:r>
          <w:r>
            <w:fldChar w:fldCharType="end"/>
          </w:r>
        </w:p>
        <w:p w14:paraId="4F94E714">
          <w:pPr>
            <w:pStyle w:val="11"/>
            <w:tabs>
              <w:tab w:val="right" w:leader="dot" w:pos="9016"/>
            </w:tabs>
            <w:rPr>
              <w:rFonts w:eastAsiaTheme="minorEastAsia"/>
              <w:lang w:val="en-IN" w:eastAsia="en-IN"/>
            </w:rPr>
          </w:pPr>
          <w:r>
            <w:fldChar w:fldCharType="begin"/>
          </w:r>
          <w:r>
            <w:instrText xml:space="preserve"> HYPERLINK \l "_Toc199190182" </w:instrText>
          </w:r>
          <w:r>
            <w:fldChar w:fldCharType="separate"/>
          </w:r>
          <w:r>
            <w:rPr>
              <w:rStyle w:val="8"/>
              <w:lang w:val="en-AU"/>
            </w:rPr>
            <w:t>4.3 Blog &amp; Newsletter Section</w:t>
          </w:r>
          <w:r>
            <w:tab/>
          </w:r>
          <w:r>
            <w:fldChar w:fldCharType="begin"/>
          </w:r>
          <w:r>
            <w:instrText xml:space="preserve"> PAGEREF _Toc199190182 \h </w:instrText>
          </w:r>
          <w:r>
            <w:fldChar w:fldCharType="separate"/>
          </w:r>
          <w:r>
            <w:t>9</w:t>
          </w:r>
          <w:r>
            <w:fldChar w:fldCharType="end"/>
          </w:r>
          <w:r>
            <w:fldChar w:fldCharType="end"/>
          </w:r>
        </w:p>
        <w:p w14:paraId="1E71D364">
          <w:pPr>
            <w:pStyle w:val="10"/>
            <w:tabs>
              <w:tab w:val="right" w:leader="dot" w:pos="9016"/>
            </w:tabs>
            <w:rPr>
              <w:rFonts w:eastAsiaTheme="minorEastAsia"/>
              <w:lang w:val="en-IN" w:eastAsia="en-IN"/>
            </w:rPr>
          </w:pPr>
          <w:r>
            <w:fldChar w:fldCharType="begin"/>
          </w:r>
          <w:r>
            <w:instrText xml:space="preserve"> HYPERLINK \l "_Toc199190183" </w:instrText>
          </w:r>
          <w:r>
            <w:fldChar w:fldCharType="separate"/>
          </w:r>
          <w:r>
            <w:rPr>
              <w:rStyle w:val="8"/>
              <w:lang w:val="en-AU"/>
            </w:rPr>
            <w:t>5. Onboarding Information Kits</w:t>
          </w:r>
          <w:r>
            <w:tab/>
          </w:r>
          <w:r>
            <w:fldChar w:fldCharType="begin"/>
          </w:r>
          <w:r>
            <w:instrText xml:space="preserve"> PAGEREF _Toc199190183 \h </w:instrText>
          </w:r>
          <w:r>
            <w:fldChar w:fldCharType="separate"/>
          </w:r>
          <w:r>
            <w:t>10</w:t>
          </w:r>
          <w:r>
            <w:fldChar w:fldCharType="end"/>
          </w:r>
          <w:r>
            <w:fldChar w:fldCharType="end"/>
          </w:r>
        </w:p>
        <w:p w14:paraId="0FC7771A">
          <w:pPr>
            <w:pStyle w:val="11"/>
            <w:tabs>
              <w:tab w:val="right" w:leader="dot" w:pos="9016"/>
            </w:tabs>
            <w:rPr>
              <w:rFonts w:eastAsiaTheme="minorEastAsia"/>
              <w:lang w:val="en-IN" w:eastAsia="en-IN"/>
            </w:rPr>
          </w:pPr>
          <w:r>
            <w:fldChar w:fldCharType="begin"/>
          </w:r>
          <w:r>
            <w:instrText xml:space="preserve"> HYPERLINK \l "_Toc199190184" </w:instrText>
          </w:r>
          <w:r>
            <w:fldChar w:fldCharType="separate"/>
          </w:r>
          <w:r>
            <w:rPr>
              <w:rStyle w:val="8"/>
              <w:lang w:val="en-AU"/>
            </w:rPr>
            <w:t>5.1 Digital Welcome Packet</w:t>
          </w:r>
          <w:r>
            <w:tab/>
          </w:r>
          <w:r>
            <w:fldChar w:fldCharType="begin"/>
          </w:r>
          <w:r>
            <w:instrText xml:space="preserve"> PAGEREF _Toc199190184 \h </w:instrText>
          </w:r>
          <w:r>
            <w:fldChar w:fldCharType="separate"/>
          </w:r>
          <w:r>
            <w:t>11</w:t>
          </w:r>
          <w:r>
            <w:fldChar w:fldCharType="end"/>
          </w:r>
          <w:r>
            <w:fldChar w:fldCharType="end"/>
          </w:r>
        </w:p>
        <w:p w14:paraId="7230D6C4">
          <w:pPr>
            <w:pStyle w:val="11"/>
            <w:tabs>
              <w:tab w:val="right" w:leader="dot" w:pos="9016"/>
            </w:tabs>
            <w:rPr>
              <w:rFonts w:eastAsiaTheme="minorEastAsia"/>
              <w:lang w:val="en-IN" w:eastAsia="en-IN"/>
            </w:rPr>
          </w:pPr>
          <w:r>
            <w:fldChar w:fldCharType="begin"/>
          </w:r>
          <w:r>
            <w:instrText xml:space="preserve"> HYPERLINK \l "_Toc199190185" </w:instrText>
          </w:r>
          <w:r>
            <w:fldChar w:fldCharType="separate"/>
          </w:r>
          <w:r>
            <w:rPr>
              <w:rStyle w:val="8"/>
              <w:lang w:val="en-AU"/>
            </w:rPr>
            <w:t>5.2 Local Logistics Guide</w:t>
          </w:r>
          <w:r>
            <w:tab/>
          </w:r>
          <w:r>
            <w:fldChar w:fldCharType="begin"/>
          </w:r>
          <w:r>
            <w:instrText xml:space="preserve"> PAGEREF _Toc199190185 \h </w:instrText>
          </w:r>
          <w:r>
            <w:fldChar w:fldCharType="separate"/>
          </w:r>
          <w:r>
            <w:t>12</w:t>
          </w:r>
          <w:r>
            <w:fldChar w:fldCharType="end"/>
          </w:r>
          <w:r>
            <w:fldChar w:fldCharType="end"/>
          </w:r>
        </w:p>
        <w:p w14:paraId="56AC117E">
          <w:pPr>
            <w:pStyle w:val="10"/>
            <w:tabs>
              <w:tab w:val="right" w:leader="dot" w:pos="9016"/>
            </w:tabs>
            <w:rPr>
              <w:rFonts w:eastAsiaTheme="minorEastAsia"/>
              <w:lang w:val="en-IN" w:eastAsia="en-IN"/>
            </w:rPr>
          </w:pPr>
          <w:r>
            <w:fldChar w:fldCharType="begin"/>
          </w:r>
          <w:r>
            <w:instrText xml:space="preserve"> HYPERLINK \l "_Toc199190186" </w:instrText>
          </w:r>
          <w:r>
            <w:fldChar w:fldCharType="separate"/>
          </w:r>
          <w:r>
            <w:rPr>
              <w:rStyle w:val="8"/>
              <w:lang w:val="en-AU"/>
            </w:rPr>
            <w:t>6. Co-Working Etiquette Guidelines</w:t>
          </w:r>
          <w:r>
            <w:tab/>
          </w:r>
          <w:r>
            <w:fldChar w:fldCharType="begin"/>
          </w:r>
          <w:r>
            <w:instrText xml:space="preserve"> PAGEREF _Toc199190186 \h </w:instrText>
          </w:r>
          <w:r>
            <w:fldChar w:fldCharType="separate"/>
          </w:r>
          <w:r>
            <w:t>12</w:t>
          </w:r>
          <w:r>
            <w:fldChar w:fldCharType="end"/>
          </w:r>
          <w:r>
            <w:fldChar w:fldCharType="end"/>
          </w:r>
        </w:p>
        <w:p w14:paraId="2227E505">
          <w:pPr>
            <w:pStyle w:val="11"/>
            <w:tabs>
              <w:tab w:val="right" w:leader="dot" w:pos="9016"/>
            </w:tabs>
            <w:rPr>
              <w:rFonts w:eastAsiaTheme="minorEastAsia"/>
              <w:lang w:val="en-IN" w:eastAsia="en-IN"/>
            </w:rPr>
          </w:pPr>
          <w:r>
            <w:fldChar w:fldCharType="begin"/>
          </w:r>
          <w:r>
            <w:instrText xml:space="preserve"> HYPERLINK \l "_Toc199190187" </w:instrText>
          </w:r>
          <w:r>
            <w:fldChar w:fldCharType="separate"/>
          </w:r>
          <w:r>
            <w:rPr>
              <w:rStyle w:val="8"/>
              <w:lang w:val="en-AU"/>
            </w:rPr>
            <w:t>6.1 Shared-Space Best Practices</w:t>
          </w:r>
          <w:r>
            <w:tab/>
          </w:r>
          <w:r>
            <w:fldChar w:fldCharType="begin"/>
          </w:r>
          <w:r>
            <w:instrText xml:space="preserve"> PAGEREF _Toc199190187 \h </w:instrText>
          </w:r>
          <w:r>
            <w:fldChar w:fldCharType="separate"/>
          </w:r>
          <w:r>
            <w:t>13</w:t>
          </w:r>
          <w:r>
            <w:fldChar w:fldCharType="end"/>
          </w:r>
          <w:r>
            <w:fldChar w:fldCharType="end"/>
          </w:r>
        </w:p>
        <w:p w14:paraId="6F89A6E9">
          <w:pPr>
            <w:pStyle w:val="11"/>
            <w:tabs>
              <w:tab w:val="right" w:leader="dot" w:pos="9016"/>
            </w:tabs>
            <w:rPr>
              <w:rFonts w:eastAsiaTheme="minorEastAsia"/>
              <w:lang w:val="en-IN" w:eastAsia="en-IN"/>
            </w:rPr>
          </w:pPr>
          <w:r>
            <w:fldChar w:fldCharType="begin"/>
          </w:r>
          <w:r>
            <w:instrText xml:space="preserve"> HYPERLINK \l "_Toc199190188" </w:instrText>
          </w:r>
          <w:r>
            <w:fldChar w:fldCharType="separate"/>
          </w:r>
          <w:r>
            <w:rPr>
              <w:rStyle w:val="8"/>
              <w:lang w:val="en-AU"/>
            </w:rPr>
            <w:t>6.2 Cultural Sensitivity Pointers</w:t>
          </w:r>
          <w:r>
            <w:tab/>
          </w:r>
          <w:r>
            <w:fldChar w:fldCharType="begin"/>
          </w:r>
          <w:r>
            <w:instrText xml:space="preserve"> PAGEREF _Toc199190188 \h </w:instrText>
          </w:r>
          <w:r>
            <w:fldChar w:fldCharType="separate"/>
          </w:r>
          <w:r>
            <w:t>13</w:t>
          </w:r>
          <w:r>
            <w:fldChar w:fldCharType="end"/>
          </w:r>
          <w:r>
            <w:fldChar w:fldCharType="end"/>
          </w:r>
        </w:p>
        <w:p w14:paraId="0ED53E65">
          <w:pPr>
            <w:pStyle w:val="11"/>
            <w:tabs>
              <w:tab w:val="right" w:leader="dot" w:pos="9016"/>
            </w:tabs>
            <w:rPr>
              <w:rFonts w:eastAsiaTheme="minorEastAsia"/>
              <w:lang w:val="en-IN" w:eastAsia="en-IN"/>
            </w:rPr>
          </w:pPr>
          <w:r>
            <w:fldChar w:fldCharType="begin"/>
          </w:r>
          <w:r>
            <w:instrText xml:space="preserve"> HYPERLINK \l "_Toc199190189" </w:instrText>
          </w:r>
          <w:r>
            <w:fldChar w:fldCharType="separate"/>
          </w:r>
          <w:r>
            <w:rPr>
              <w:rStyle w:val="8"/>
              <w:lang w:val="en-AU"/>
            </w:rPr>
            <w:t>6.3 Infographic Quick-Reference</w:t>
          </w:r>
          <w:r>
            <w:tab/>
          </w:r>
          <w:r>
            <w:fldChar w:fldCharType="begin"/>
          </w:r>
          <w:r>
            <w:instrText xml:space="preserve"> PAGEREF _Toc199190189 \h </w:instrText>
          </w:r>
          <w:r>
            <w:fldChar w:fldCharType="separate"/>
          </w:r>
          <w:r>
            <w:t>14</w:t>
          </w:r>
          <w:r>
            <w:fldChar w:fldCharType="end"/>
          </w:r>
          <w:r>
            <w:fldChar w:fldCharType="end"/>
          </w:r>
        </w:p>
        <w:p w14:paraId="25C76503">
          <w:pPr>
            <w:pStyle w:val="10"/>
            <w:tabs>
              <w:tab w:val="right" w:leader="dot" w:pos="9016"/>
            </w:tabs>
            <w:rPr>
              <w:rFonts w:eastAsiaTheme="minorEastAsia"/>
              <w:lang w:val="en-IN" w:eastAsia="en-IN"/>
            </w:rPr>
          </w:pPr>
          <w:r>
            <w:fldChar w:fldCharType="begin"/>
          </w:r>
          <w:r>
            <w:instrText xml:space="preserve"> HYPERLINK \l "_Toc199190190" </w:instrText>
          </w:r>
          <w:r>
            <w:fldChar w:fldCharType="separate"/>
          </w:r>
          <w:r>
            <w:rPr>
              <w:rStyle w:val="8"/>
              <w:lang w:val="en-AU"/>
            </w:rPr>
            <w:t>7. Digital Safety Tips</w:t>
          </w:r>
          <w:r>
            <w:tab/>
          </w:r>
          <w:r>
            <w:fldChar w:fldCharType="begin"/>
          </w:r>
          <w:r>
            <w:instrText xml:space="preserve"> PAGEREF _Toc199190190 \h </w:instrText>
          </w:r>
          <w:r>
            <w:fldChar w:fldCharType="separate"/>
          </w:r>
          <w:r>
            <w:t>14</w:t>
          </w:r>
          <w:r>
            <w:fldChar w:fldCharType="end"/>
          </w:r>
          <w:r>
            <w:fldChar w:fldCharType="end"/>
          </w:r>
        </w:p>
        <w:p w14:paraId="6D7AE008">
          <w:pPr>
            <w:pStyle w:val="11"/>
            <w:tabs>
              <w:tab w:val="right" w:leader="dot" w:pos="9016"/>
            </w:tabs>
            <w:rPr>
              <w:rFonts w:eastAsiaTheme="minorEastAsia"/>
              <w:lang w:val="en-IN" w:eastAsia="en-IN"/>
            </w:rPr>
          </w:pPr>
          <w:r>
            <w:fldChar w:fldCharType="begin"/>
          </w:r>
          <w:r>
            <w:instrText xml:space="preserve"> HYPERLINK \l "_Toc199190191" </w:instrText>
          </w:r>
          <w:r>
            <w:fldChar w:fldCharType="separate"/>
          </w:r>
          <w:r>
            <w:rPr>
              <w:rStyle w:val="8"/>
              <w:lang w:val="en-AU"/>
            </w:rPr>
            <w:t>7.1 Secure Connectivity &amp; VPN Usage</w:t>
          </w:r>
          <w:r>
            <w:tab/>
          </w:r>
          <w:r>
            <w:fldChar w:fldCharType="begin"/>
          </w:r>
          <w:r>
            <w:instrText xml:space="preserve"> PAGEREF _Toc199190191 \h </w:instrText>
          </w:r>
          <w:r>
            <w:fldChar w:fldCharType="separate"/>
          </w:r>
          <w:r>
            <w:t>14</w:t>
          </w:r>
          <w:r>
            <w:fldChar w:fldCharType="end"/>
          </w:r>
          <w:r>
            <w:fldChar w:fldCharType="end"/>
          </w:r>
        </w:p>
        <w:p w14:paraId="1DF178BC">
          <w:pPr>
            <w:pStyle w:val="11"/>
            <w:tabs>
              <w:tab w:val="right" w:leader="dot" w:pos="9016"/>
            </w:tabs>
            <w:rPr>
              <w:rFonts w:eastAsiaTheme="minorEastAsia"/>
              <w:lang w:val="en-IN" w:eastAsia="en-IN"/>
            </w:rPr>
          </w:pPr>
          <w:r>
            <w:fldChar w:fldCharType="begin"/>
          </w:r>
          <w:r>
            <w:instrText xml:space="preserve"> HYPERLINK \l "_Toc199190192" </w:instrText>
          </w:r>
          <w:r>
            <w:fldChar w:fldCharType="separate"/>
          </w:r>
          <w:r>
            <w:rPr>
              <w:rStyle w:val="8"/>
              <w:lang w:val="en-AU"/>
            </w:rPr>
            <w:t>7.2 Data Backup &amp; Device Security</w:t>
          </w:r>
          <w:r>
            <w:tab/>
          </w:r>
          <w:r>
            <w:fldChar w:fldCharType="begin"/>
          </w:r>
          <w:r>
            <w:instrText xml:space="preserve"> PAGEREF _Toc199190192 \h </w:instrText>
          </w:r>
          <w:r>
            <w:fldChar w:fldCharType="separate"/>
          </w:r>
          <w:r>
            <w:t>15</w:t>
          </w:r>
          <w:r>
            <w:fldChar w:fldCharType="end"/>
          </w:r>
          <w:r>
            <w:fldChar w:fldCharType="end"/>
          </w:r>
        </w:p>
        <w:p w14:paraId="53B19871">
          <w:pPr>
            <w:pStyle w:val="11"/>
            <w:tabs>
              <w:tab w:val="right" w:leader="dot" w:pos="9016"/>
            </w:tabs>
            <w:rPr>
              <w:rFonts w:eastAsiaTheme="minorEastAsia"/>
              <w:lang w:val="en-IN" w:eastAsia="en-IN"/>
            </w:rPr>
          </w:pPr>
          <w:r>
            <w:fldChar w:fldCharType="begin"/>
          </w:r>
          <w:r>
            <w:instrText xml:space="preserve"> HYPERLINK \l "_Toc199190193" </w:instrText>
          </w:r>
          <w:r>
            <w:fldChar w:fldCharType="separate"/>
          </w:r>
          <w:r>
            <w:rPr>
              <w:rStyle w:val="8"/>
              <w:lang w:val="en-AU"/>
            </w:rPr>
            <w:t>7.3 Emergency Contacts &amp; Insurance</w:t>
          </w:r>
          <w:r>
            <w:tab/>
          </w:r>
          <w:r>
            <w:fldChar w:fldCharType="begin"/>
          </w:r>
          <w:r>
            <w:instrText xml:space="preserve"> PAGEREF _Toc199190193 \h </w:instrText>
          </w:r>
          <w:r>
            <w:fldChar w:fldCharType="separate"/>
          </w:r>
          <w:r>
            <w:t>15</w:t>
          </w:r>
          <w:r>
            <w:fldChar w:fldCharType="end"/>
          </w:r>
          <w:r>
            <w:fldChar w:fldCharType="end"/>
          </w:r>
        </w:p>
        <w:p w14:paraId="5F320037">
          <w:pPr>
            <w:pStyle w:val="10"/>
            <w:tabs>
              <w:tab w:val="right" w:leader="dot" w:pos="9016"/>
            </w:tabs>
            <w:rPr>
              <w:rFonts w:eastAsiaTheme="minorEastAsia"/>
              <w:lang w:val="en-IN" w:eastAsia="en-IN"/>
            </w:rPr>
          </w:pPr>
          <w:r>
            <w:fldChar w:fldCharType="begin"/>
          </w:r>
          <w:r>
            <w:instrText xml:space="preserve"> HYPERLINK \l "_Toc199190194" </w:instrText>
          </w:r>
          <w:r>
            <w:fldChar w:fldCharType="separate"/>
          </w:r>
          <w:r>
            <w:rPr>
              <w:rStyle w:val="8"/>
              <w:lang w:val="en-AU"/>
            </w:rPr>
            <w:t>8. Localisation &amp; Cross-Cultural Personalisation</w:t>
          </w:r>
          <w:r>
            <w:tab/>
          </w:r>
          <w:r>
            <w:fldChar w:fldCharType="begin"/>
          </w:r>
          <w:r>
            <w:instrText xml:space="preserve"> PAGEREF _Toc199190194 \h </w:instrText>
          </w:r>
          <w:r>
            <w:fldChar w:fldCharType="separate"/>
          </w:r>
          <w:r>
            <w:t>16</w:t>
          </w:r>
          <w:r>
            <w:fldChar w:fldCharType="end"/>
          </w:r>
          <w:r>
            <w:fldChar w:fldCharType="end"/>
          </w:r>
        </w:p>
        <w:p w14:paraId="1C3F1DAB">
          <w:pPr>
            <w:pStyle w:val="11"/>
            <w:tabs>
              <w:tab w:val="right" w:leader="dot" w:pos="9016"/>
            </w:tabs>
            <w:rPr>
              <w:rFonts w:eastAsiaTheme="minorEastAsia"/>
              <w:lang w:val="en-IN" w:eastAsia="en-IN"/>
            </w:rPr>
          </w:pPr>
          <w:r>
            <w:fldChar w:fldCharType="begin"/>
          </w:r>
          <w:r>
            <w:instrText xml:space="preserve"> HYPERLINK \l "_Toc199190195" </w:instrText>
          </w:r>
          <w:r>
            <w:fldChar w:fldCharType="separate"/>
          </w:r>
          <w:r>
            <w:rPr>
              <w:rStyle w:val="8"/>
              <w:lang w:val="en-AU"/>
            </w:rPr>
            <w:t>8.1 Tone, Style &amp; Visual Adaptations</w:t>
          </w:r>
          <w:r>
            <w:tab/>
          </w:r>
          <w:r>
            <w:fldChar w:fldCharType="begin"/>
          </w:r>
          <w:r>
            <w:instrText xml:space="preserve"> PAGEREF _Toc199190195 \h </w:instrText>
          </w:r>
          <w:r>
            <w:fldChar w:fldCharType="separate"/>
          </w:r>
          <w:r>
            <w:t>16</w:t>
          </w:r>
          <w:r>
            <w:fldChar w:fldCharType="end"/>
          </w:r>
          <w:r>
            <w:fldChar w:fldCharType="end"/>
          </w:r>
        </w:p>
        <w:p w14:paraId="3C61DAE0">
          <w:pPr>
            <w:pStyle w:val="11"/>
            <w:tabs>
              <w:tab w:val="right" w:leader="dot" w:pos="9016"/>
            </w:tabs>
            <w:rPr>
              <w:rFonts w:eastAsiaTheme="minorEastAsia"/>
              <w:lang w:val="en-IN" w:eastAsia="en-IN"/>
            </w:rPr>
          </w:pPr>
          <w:r>
            <w:fldChar w:fldCharType="begin"/>
          </w:r>
          <w:r>
            <w:instrText xml:space="preserve"> HYPERLINK \l "_Toc199190196" </w:instrText>
          </w:r>
          <w:r>
            <w:fldChar w:fldCharType="separate"/>
          </w:r>
          <w:r>
            <w:rPr>
              <w:rStyle w:val="8"/>
              <w:lang w:val="en-AU"/>
            </w:rPr>
            <w:t>8.3 A/B Testing &amp; Continuous Optimization</w:t>
          </w:r>
          <w:r>
            <w:tab/>
          </w:r>
          <w:r>
            <w:fldChar w:fldCharType="begin"/>
          </w:r>
          <w:r>
            <w:instrText xml:space="preserve"> PAGEREF _Toc199190196 \h </w:instrText>
          </w:r>
          <w:r>
            <w:fldChar w:fldCharType="separate"/>
          </w:r>
          <w:r>
            <w:t>16</w:t>
          </w:r>
          <w:r>
            <w:fldChar w:fldCharType="end"/>
          </w:r>
          <w:r>
            <w:fldChar w:fldCharType="end"/>
          </w:r>
        </w:p>
        <w:p w14:paraId="11168E3B">
          <w:pPr>
            <w:pStyle w:val="10"/>
            <w:tabs>
              <w:tab w:val="right" w:leader="dot" w:pos="9016"/>
            </w:tabs>
            <w:rPr>
              <w:rFonts w:eastAsiaTheme="minorEastAsia"/>
              <w:lang w:val="en-IN" w:eastAsia="en-IN"/>
            </w:rPr>
          </w:pPr>
          <w:r>
            <w:fldChar w:fldCharType="begin"/>
          </w:r>
          <w:r>
            <w:instrText xml:space="preserve"> HYPERLINK \l "_Toc199190197" </w:instrText>
          </w:r>
          <w:r>
            <w:fldChar w:fldCharType="separate"/>
          </w:r>
          <w:r>
            <w:rPr>
              <w:rStyle w:val="8"/>
              <w:lang w:val="en-AU"/>
            </w:rPr>
            <w:t>9. Conclusion &amp; Recommendations</w:t>
          </w:r>
          <w:r>
            <w:tab/>
          </w:r>
          <w:r>
            <w:fldChar w:fldCharType="begin"/>
          </w:r>
          <w:r>
            <w:instrText xml:space="preserve"> PAGEREF _Toc199190197 \h </w:instrText>
          </w:r>
          <w:r>
            <w:fldChar w:fldCharType="separate"/>
          </w:r>
          <w:r>
            <w:t>17</w:t>
          </w:r>
          <w:r>
            <w:fldChar w:fldCharType="end"/>
          </w:r>
          <w:r>
            <w:fldChar w:fldCharType="end"/>
          </w:r>
        </w:p>
        <w:p w14:paraId="295B3285">
          <w:pPr>
            <w:pStyle w:val="10"/>
            <w:tabs>
              <w:tab w:val="right" w:leader="dot" w:pos="9016"/>
            </w:tabs>
            <w:rPr>
              <w:rFonts w:eastAsiaTheme="minorEastAsia"/>
              <w:lang w:val="en-IN" w:eastAsia="en-IN"/>
            </w:rPr>
          </w:pPr>
          <w:r>
            <w:fldChar w:fldCharType="begin"/>
          </w:r>
          <w:r>
            <w:instrText xml:space="preserve"> HYPERLINK \l "_Toc199190198" </w:instrText>
          </w:r>
          <w:r>
            <w:fldChar w:fldCharType="separate"/>
          </w:r>
          <w:r>
            <w:rPr>
              <w:rStyle w:val="8"/>
              <w:lang w:val="en-AU"/>
            </w:rPr>
            <w:t>10.  References:</w:t>
          </w:r>
          <w:r>
            <w:tab/>
          </w:r>
          <w:r>
            <w:fldChar w:fldCharType="begin"/>
          </w:r>
          <w:r>
            <w:instrText xml:space="preserve"> PAGEREF _Toc199190198 \h </w:instrText>
          </w:r>
          <w:r>
            <w:fldChar w:fldCharType="separate"/>
          </w:r>
          <w:r>
            <w:t>18</w:t>
          </w:r>
          <w:r>
            <w:fldChar w:fldCharType="end"/>
          </w:r>
          <w:r>
            <w:fldChar w:fldCharType="end"/>
          </w:r>
        </w:p>
        <w:p w14:paraId="50E2EF00">
          <w:r>
            <w:rPr>
              <w:b/>
              <w:bCs/>
            </w:rPr>
            <w:fldChar w:fldCharType="end"/>
          </w:r>
        </w:p>
      </w:sdtContent>
    </w:sdt>
    <w:p w14:paraId="42D0C7BB"/>
    <w:p w14:paraId="19D857EB"/>
    <w:p w14:paraId="0576DB5A"/>
    <w:p w14:paraId="1F09E118"/>
    <w:p w14:paraId="13B70A42">
      <w:pPr>
        <w:pStyle w:val="2"/>
        <w:rPr>
          <w:lang w:val="en-AU"/>
        </w:rPr>
      </w:pPr>
      <w:bookmarkStart w:id="0" w:name="_Toc199190171"/>
      <w:r>
        <w:rPr>
          <w:lang w:val="en-AU"/>
        </w:rPr>
        <w:t>1. Introduction</w:t>
      </w:r>
      <w:bookmarkEnd w:id="0"/>
    </w:p>
    <w:p w14:paraId="09782B56">
      <w:pPr>
        <w:rPr>
          <w:lang w:val="en-AU"/>
        </w:rPr>
      </w:pPr>
    </w:p>
    <w:p w14:paraId="7011446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emergence of remote-work technologies and changing lifestyles has led to the global spread of digital nomadism. Between 2018 and 2024, there has been over 50% growth in the number of workers who have completely/ slowly moved to remote jobs, with many of them wanting flexible co-working spaces in various places. On the other hand, the new tourist centres throughout the world, e.g., Lisbon and Bali, are altering their approach to visitors so that they can fully experience this community by offering the most suitable infrastructure, the smoothest digital services, as well as the most harmonious experiences. </w:t>
      </w:r>
    </w:p>
    <w:p w14:paraId="6EEDA7E1">
      <w:pPr>
        <w:pStyle w:val="9"/>
      </w:pPr>
      <w:r>
        <w:drawing>
          <wp:inline distT="0" distB="0" distL="0" distR="0">
            <wp:extent cx="5731510" cy="28657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731510" cy="2865755"/>
                    </a:xfrm>
                    <a:prstGeom prst="rect">
                      <a:avLst/>
                    </a:prstGeom>
                    <a:noFill/>
                    <a:ln>
                      <a:noFill/>
                    </a:ln>
                  </pic:spPr>
                </pic:pic>
              </a:graphicData>
            </a:graphic>
          </wp:inline>
        </w:drawing>
      </w:r>
    </w:p>
    <w:p w14:paraId="617995E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report is about a digital communication strategy that is quite extensive in scope for the tourism hubs, and it emphasizes not only the task of localisation but also the creation of a localised omnichannel ecosystem that will be most engaging and consistent. The production includes email automation flows, multilingual chatbot scripts, optimised web content, onboarding kits, co-working etiquette guidelines, and digital safety tips. Furthermore, we discuss the strategies of localisation and cross-cultural personalisation so that the language used mirrors the variety of the target audience.</w:t>
      </w:r>
    </w:p>
    <w:p w14:paraId="1079B0FE">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Objectives &amp; Scope</w:t>
      </w:r>
    </w:p>
    <w:p w14:paraId="2787B879">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Create automated email sequences that are going to be the cornerstone of the welcome process, customer engagement, and staying engaged after leaving the hotel.</w:t>
      </w:r>
    </w:p>
    <w:p w14:paraId="1CBCB647">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Show the chatbot dialogue trees in multiple languages for a 24/7, culturally friendly support service.</w:t>
      </w:r>
    </w:p>
    <w:p w14:paraId="0EA97DBD">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Write content that can be easily used by website visitors, such as landing pages, resource sections, and blogs, not only to buy but also to serve themselves.</w:t>
      </w:r>
    </w:p>
    <w:p w14:paraId="17497B21">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Write digital onboarding kits and local logistics guides to help users quickly become familiar with the place.</w:t>
      </w:r>
    </w:p>
    <w:p w14:paraId="001B80DD">
      <w:pPr>
        <w:pStyle w:val="9"/>
        <w:jc w:val="center"/>
      </w:pPr>
      <w:r>
        <w:drawing>
          <wp:inline distT="0" distB="0" distL="0" distR="0">
            <wp:extent cx="5731510" cy="35820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31510" cy="3582035"/>
                    </a:xfrm>
                    <a:prstGeom prst="rect">
                      <a:avLst/>
                    </a:prstGeom>
                    <a:noFill/>
                    <a:ln>
                      <a:noFill/>
                    </a:ln>
                  </pic:spPr>
                </pic:pic>
              </a:graphicData>
            </a:graphic>
          </wp:inline>
        </w:drawing>
      </w:r>
    </w:p>
    <w:p w14:paraId="30ADB3A9">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(Created by me)</w:t>
      </w:r>
    </w:p>
    <w:p w14:paraId="79054EB1">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Suggest some rules for sharing workspace which can make healthy and polite co-working environments and emphasize the point that everyone can be comfortable.</w:t>
      </w:r>
    </w:p>
    <w:p w14:paraId="5BA8D4DC">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Recommend some steps to the users of the internet to ensure that their information and devices are safe from cyber-criminal attacks.</w:t>
      </w:r>
    </w:p>
    <w:p w14:paraId="76FADFCC">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Localize the content in such a way that the language and cultural specificity, and other differences as well, including the format and visual elements, will guarantee the achievement of the brand's message in different countries (World Economic Forum, 2024a).</w:t>
      </w:r>
    </w:p>
    <w:p w14:paraId="11689A2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With the support of these materials in a consolidated communication plan, globetrotter-inhabited places will improve the travel adventurer experience, construct more solid teams, and proactively speak of the places.</w:t>
      </w:r>
    </w:p>
    <w:p w14:paraId="74EFC753">
      <w:pPr>
        <w:pStyle w:val="2"/>
        <w:rPr>
          <w:lang w:val="en-AU"/>
        </w:rPr>
      </w:pPr>
      <w:bookmarkStart w:id="1" w:name="_Toc199190172"/>
      <w:r>
        <w:rPr>
          <w:lang w:val="en-AU"/>
        </w:rPr>
        <w:t>2. Email Flows</w:t>
      </w:r>
      <w:bookmarkEnd w:id="1"/>
    </w:p>
    <w:p w14:paraId="76D88696">
      <w:pPr>
        <w:rPr>
          <w:lang w:val="en-AU"/>
        </w:rPr>
      </w:pPr>
    </w:p>
    <w:p w14:paraId="2DBEBB95">
      <w:pPr>
        <w:pStyle w:val="3"/>
        <w:rPr>
          <w:lang w:val="en-AU"/>
        </w:rPr>
      </w:pPr>
      <w:bookmarkStart w:id="2" w:name="_Toc199190173"/>
      <w:r>
        <w:rPr>
          <w:lang w:val="en-AU"/>
        </w:rPr>
        <w:t>2.1 Welcome/Onboarding Sequence</w:t>
      </w:r>
      <w:bookmarkEnd w:id="2"/>
    </w:p>
    <w:p w14:paraId="7BDCFF79">
      <w:pPr>
        <w:rPr>
          <w:lang w:val="en-AU"/>
        </w:rPr>
      </w:pPr>
    </w:p>
    <w:p w14:paraId="092F037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situation of the Nomad Subscription: The subscriber subscribes through the landing page form or books a co-working pass.</w:t>
      </w:r>
    </w:p>
    <w:p w14:paraId="6BA5D3B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Timing &amp; Structure:</w:t>
      </w:r>
    </w:p>
    <w:p w14:paraId="6864C62A">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017770" cy="33451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017770" cy="3345180"/>
                    </a:xfrm>
                    <a:prstGeom prst="rect">
                      <a:avLst/>
                    </a:prstGeom>
                    <a:noFill/>
                  </pic:spPr>
                </pic:pic>
              </a:graphicData>
            </a:graphic>
          </wp:inline>
        </w:drawing>
      </w:r>
    </w:p>
    <w:p w14:paraId="5A45CA8D">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https://www.hellolanding.com/blog/introducing-nomad-pass/</w:t>
      </w:r>
    </w:p>
    <w:p w14:paraId="53B8C0C4">
      <w:pPr>
        <w:pStyle w:val="15"/>
        <w:numPr>
          <w:ilvl w:val="0"/>
          <w:numId w:val="2"/>
        </w:num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Immediate (0 minutes): "Welcome to [Hub Name]!"</w:t>
      </w:r>
    </w:p>
    <w:p w14:paraId="71C80793">
      <w:pPr>
        <w:pStyle w:val="15"/>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welcome note, a map link, and log-in information for the community portal.</w:t>
      </w:r>
    </w:p>
    <w:p w14:paraId="21D79395">
      <w:pPr>
        <w:pStyle w:val="15"/>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digital onboarding kit (PDF &amp; microsite) for download.</w:t>
      </w:r>
    </w:p>
    <w:p w14:paraId="6645744C">
      <w:pPr>
        <w:pStyle w:val="15"/>
        <w:numPr>
          <w:ilvl w:val="0"/>
          <w:numId w:val="2"/>
        </w:num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Day 1: "Getting Started Guide"</w:t>
      </w:r>
    </w:p>
    <w:p w14:paraId="118B7828">
      <w:pPr>
        <w:pStyle w:val="15"/>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Services: The creator enumerates SIM card vendors, transport apps, and workspace access codes.</w:t>
      </w:r>
    </w:p>
    <w:p w14:paraId="2E8D4344">
      <w:pPr>
        <w:pStyle w:val="15"/>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Access to the Hub Slack/Discord channel for the Nomad.</w:t>
      </w:r>
    </w:p>
    <w:p w14:paraId="7C5A4C09">
      <w:pPr>
        <w:pStyle w:val="15"/>
        <w:numPr>
          <w:ilvl w:val="0"/>
          <w:numId w:val="2"/>
        </w:num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Day 3: "Community &amp; Events Calendar"</w:t>
      </w:r>
    </w:p>
    <w:p w14:paraId="2F23E849">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list of the weekly events of the community (language exchanges, coding sessions, yoga).</w:t>
      </w:r>
    </w:p>
    <w:p w14:paraId="0F930B78">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Link to RSVP &amp; add to calendar.</w:t>
      </w:r>
    </w:p>
    <w:p w14:paraId="172BB0FF">
      <w:pPr>
        <w:pStyle w:val="15"/>
        <w:numPr>
          <w:ilvl w:val="0"/>
          <w:numId w:val="2"/>
        </w:num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Day 7: "Pro Tips from Fellow Nomads"</w:t>
      </w:r>
    </w:p>
    <w:p w14:paraId="0231D52C">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Testimonials on hidden cafés and after-work spots based on short interviews.</w:t>
      </w:r>
    </w:p>
    <w:p w14:paraId="4CCBA4BE">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CTA (Call-to-action) asking if you have any good recommendations you would like to share with the community.</w:t>
      </w:r>
    </w:p>
    <w:p w14:paraId="3B7BE9DD">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Personalisation Tokens:</w:t>
      </w:r>
    </w:p>
    <w:p w14:paraId="1BC78FCA">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First name, arrival dates, home time zone.</w:t>
      </w:r>
    </w:p>
    <w:p w14:paraId="51E3FD51">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Your workplace preference (a private office or an open desk).</w:t>
      </w:r>
    </w:p>
    <w:p w14:paraId="3279EA76">
      <w:pPr>
        <w:pStyle w:val="3"/>
        <w:rPr>
          <w:lang w:val="en-AU"/>
        </w:rPr>
      </w:pPr>
      <w:bookmarkStart w:id="3" w:name="_Toc199190174"/>
      <w:r>
        <w:rPr>
          <w:lang w:val="en-AU"/>
        </w:rPr>
        <w:t>2.2 Community-Building Drip Campaign</w:t>
      </w:r>
      <w:bookmarkEnd w:id="3"/>
    </w:p>
    <w:p w14:paraId="56EDBD96">
      <w:pPr>
        <w:rPr>
          <w:lang w:val="en-AU"/>
        </w:rPr>
      </w:pPr>
    </w:p>
    <w:p w14:paraId="0A24892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Objective: Encourage user communication and excitement through peer-to-peer interaction.</w:t>
      </w:r>
    </w:p>
    <w:p w14:paraId="36ADB624">
      <w:pPr>
        <w:pStyle w:val="15"/>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Week 2: "Skill-Swap Sessions"—The registered users are enrolling themselves for the workshops facilitated by their peers.</w:t>
      </w:r>
    </w:p>
    <w:p w14:paraId="41316649">
      <w:pPr>
        <w:pStyle w:val="15"/>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Week 3: "Photo Challenge" on Instagram, along with hub-specific hashtags.</w:t>
      </w:r>
    </w:p>
    <w:p w14:paraId="1F2DC4E1">
      <w:pPr>
        <w:pStyle w:val="15"/>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Week 4: "Local Culture Deep Dive"—Conversations in languages, as well as cooking classes, are some examples of events that will be there.</w:t>
      </w:r>
    </w:p>
    <w:p w14:paraId="47C448CB">
      <w:pPr>
        <w:spacing w:line="360" w:lineRule="auto"/>
        <w:jc w:val="center"/>
        <w:rPr>
          <w:rFonts w:ascii="Times New Roman" w:hAnsi="Times New Roman" w:cs="Times New Roman"/>
          <w:sz w:val="24"/>
          <w:szCs w:val="24"/>
          <w:lang w:val="en-AU"/>
        </w:rPr>
      </w:pPr>
      <w:r>
        <w:drawing>
          <wp:inline distT="0" distB="0" distL="0" distR="0">
            <wp:extent cx="3916680" cy="3916680"/>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916680" cy="3916680"/>
                    </a:xfrm>
                    <a:prstGeom prst="rect">
                      <a:avLst/>
                    </a:prstGeom>
                    <a:noFill/>
                    <a:ln>
                      <a:noFill/>
                    </a:ln>
                  </pic:spPr>
                </pic:pic>
              </a:graphicData>
            </a:graphic>
          </wp:inline>
        </w:drawing>
      </w:r>
    </w:p>
    <w:p w14:paraId="22D8E45C">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(Created by me)</w:t>
      </w:r>
    </w:p>
    <w:p w14:paraId="39E6B4B8">
      <w:pPr>
        <w:pStyle w:val="3"/>
        <w:rPr>
          <w:lang w:val="en-AU"/>
        </w:rPr>
      </w:pPr>
      <w:bookmarkStart w:id="4" w:name="_Toc199190175"/>
      <w:r>
        <w:rPr>
          <w:lang w:val="en-AU"/>
        </w:rPr>
        <w:t>2.3 Departure &amp; Feedback Loop</w:t>
      </w:r>
      <w:bookmarkEnd w:id="4"/>
    </w:p>
    <w:p w14:paraId="6703B4CC">
      <w:pPr>
        <w:rPr>
          <w:lang w:val="en-AU"/>
        </w:rPr>
      </w:pPr>
    </w:p>
    <w:p w14:paraId="2955633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Trigger: The customer's access pass is about to finish, or the booking end date is getting closer.</w:t>
      </w:r>
    </w:p>
    <w:p w14:paraId="24F439DF">
      <w:pPr>
        <w:pStyle w:val="15"/>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3 Days Before</w:t>
      </w:r>
    </w:p>
    <w:p w14:paraId="485CDE80">
      <w:pPr>
        <w:pStyle w:val="15"/>
        <w:numPr>
          <w:ilvl w:val="1"/>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Usage stats: worked hours, attended sessions.</w:t>
      </w:r>
    </w:p>
    <w:p w14:paraId="2DD0C113">
      <w:pPr>
        <w:pStyle w:val="15"/>
        <w:numPr>
          <w:ilvl w:val="1"/>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Discount code for coming back.</w:t>
      </w:r>
    </w:p>
    <w:p w14:paraId="3C8BB0F2">
      <w:pPr>
        <w:pStyle w:val="15"/>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1 Day After Departure: “We Would Like Your Feedback”</w:t>
      </w:r>
    </w:p>
    <w:p w14:paraId="561012D9">
      <w:pPr>
        <w:pStyle w:val="15"/>
        <w:numPr>
          <w:ilvl w:val="1"/>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NPS surveys several questions, linking to a feedback form with opportunities for improvement.</w:t>
      </w:r>
    </w:p>
    <w:p w14:paraId="41AFEDFE">
      <w:pPr>
        <w:pStyle w:val="15"/>
        <w:numPr>
          <w:ilvl w:val="0"/>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7 Days Post-Departure: “Share A Guest Experience”</w:t>
      </w:r>
    </w:p>
    <w:p w14:paraId="1549F6FA">
      <w:pPr>
        <w:pStyle w:val="15"/>
        <w:numPr>
          <w:ilvl w:val="1"/>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Request to share a blog post or video testimonial.</w:t>
      </w:r>
    </w:p>
    <w:p w14:paraId="4C51655B">
      <w:pPr>
        <w:pStyle w:val="15"/>
        <w:numPr>
          <w:ilvl w:val="1"/>
          <w:numId w:val="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gift card lottery for completing the survey.</w:t>
      </w:r>
    </w:p>
    <w:p w14:paraId="69AA3251">
      <w:pPr>
        <w:pStyle w:val="2"/>
        <w:rPr>
          <w:lang w:val="en-AU"/>
        </w:rPr>
      </w:pPr>
      <w:bookmarkStart w:id="5" w:name="_Toc199190176"/>
      <w:r>
        <w:rPr>
          <w:lang w:val="en-AU"/>
        </w:rPr>
        <w:t>3. Multilingual Chatbot Scripts</w:t>
      </w:r>
      <w:bookmarkEnd w:id="5"/>
    </w:p>
    <w:p w14:paraId="37F8070B">
      <w:pPr>
        <w:rPr>
          <w:lang w:val="en-AU"/>
        </w:rPr>
      </w:pPr>
    </w:p>
    <w:p w14:paraId="41593A99">
      <w:pPr>
        <w:pStyle w:val="3"/>
        <w:rPr>
          <w:lang w:val="en-AU"/>
        </w:rPr>
      </w:pPr>
      <w:bookmarkStart w:id="6" w:name="_Toc199190177"/>
      <w:r>
        <w:rPr>
          <w:lang w:val="en-AU"/>
        </w:rPr>
        <w:t>3.1 Use-Case Scenarios</w:t>
      </w:r>
      <w:bookmarkEnd w:id="6"/>
    </w:p>
    <w:p w14:paraId="5C257D14">
      <w:pPr>
        <w:rPr>
          <w:lang w:val="en-AU"/>
        </w:rPr>
      </w:pPr>
    </w:p>
    <w:p w14:paraId="1729CC03">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Workspace Availability</w:t>
      </w:r>
    </w:p>
    <w:p w14:paraId="39844D0E">
      <w:pPr>
        <w:pStyle w:val="15"/>
        <w:numPr>
          <w:ilvl w:val="1"/>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“What's open right now?” → It shows the availability of live desk/room occupancy.</w:t>
      </w:r>
    </w:p>
    <w:p w14:paraId="238CF43E">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Booking &amp; Payment</w:t>
      </w:r>
    </w:p>
    <w:p w14:paraId="7182C669">
      <w:pPr>
        <w:pStyle w:val="15"/>
        <w:numPr>
          <w:ilvl w:val="1"/>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“Reserve a conference room for me from 2 pm to 4 pm.”</w:t>
      </w:r>
    </w:p>
    <w:p w14:paraId="4102ACD2">
      <w:pPr>
        <w:pStyle w:val="15"/>
        <w:numPr>
          <w:ilvl w:val="1"/>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“What are the steps to change from a hot desk to a dedicated desk?” (Global Workplace Analytics, n.d.)</w:t>
      </w:r>
    </w:p>
    <w:p w14:paraId="1EACC5BD">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Local Recommendations</w:t>
      </w:r>
    </w:p>
    <w:p w14:paraId="652AA825">
      <w:pPr>
        <w:pStyle w:val="15"/>
        <w:numPr>
          <w:ilvl w:val="1"/>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“Where can I get a quick bite nearby?”</w:t>
      </w:r>
    </w:p>
    <w:p w14:paraId="30816E08">
      <w:pPr>
        <w:pStyle w:val="15"/>
        <w:numPr>
          <w:ilvl w:val="1"/>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Technical Support</w:t>
      </w:r>
    </w:p>
    <w:p w14:paraId="7066F388">
      <w:pPr>
        <w:pStyle w:val="15"/>
        <w:numPr>
          <w:ilvl w:val="1"/>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“Wi-Fi is not working for me, the VPN setup will solve it.”—Step-by-step VPN setup.</w:t>
      </w:r>
    </w:p>
    <w:p w14:paraId="3899A550">
      <w:pPr>
        <w:pStyle w:val="3"/>
        <w:rPr>
          <w:lang w:val="en-AU"/>
        </w:rPr>
      </w:pPr>
      <w:bookmarkStart w:id="7" w:name="_Toc199190178"/>
      <w:r>
        <w:rPr>
          <w:lang w:val="en-AU"/>
        </w:rPr>
        <w:t>3.2 Language Variants &amp; Localisation Notes</w:t>
      </w:r>
      <w:bookmarkEnd w:id="7"/>
    </w:p>
    <w:p w14:paraId="3973A13B">
      <w:pPr>
        <w:rPr>
          <w:lang w:val="en-AU"/>
        </w:rPr>
      </w:pPr>
    </w:p>
    <w:p w14:paraId="7967C01B">
      <w:pPr>
        <w:pStyle w:val="15"/>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English (US/UK): Neutral, accurate.</w:t>
      </w:r>
    </w:p>
    <w:p w14:paraId="1C41C80B">
      <w:pPr>
        <w:pStyle w:val="15"/>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Spanish (Spain/Latin America): Formal (“usted”) vs. informal (“tú”) modes.</w:t>
      </w:r>
    </w:p>
    <w:p w14:paraId="35A4CBD1">
      <w:pPr>
        <w:pStyle w:val="9"/>
        <w:jc w:val="center"/>
      </w:pPr>
      <w:r>
        <w:drawing>
          <wp:inline distT="0" distB="0" distL="0" distR="0">
            <wp:extent cx="5731510" cy="28657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731510" cy="2865755"/>
                    </a:xfrm>
                    <a:prstGeom prst="rect">
                      <a:avLst/>
                    </a:prstGeom>
                    <a:noFill/>
                    <a:ln>
                      <a:noFill/>
                    </a:ln>
                  </pic:spPr>
                </pic:pic>
              </a:graphicData>
            </a:graphic>
          </wp:inline>
        </w:drawing>
      </w:r>
    </w:p>
    <w:p w14:paraId="59D8CFB4">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(Created by me)</w:t>
      </w:r>
    </w:p>
    <w:p w14:paraId="22A407C5">
      <w:pPr>
        <w:pStyle w:val="15"/>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Mandarin (Simplified): Show respect, using full</w:t>
      </w:r>
    </w:p>
    <w:p w14:paraId="09CAC5C5">
      <w:pPr>
        <w:pStyle w:val="15"/>
        <w:numPr>
          <w:ilvl w:val="0"/>
          <w:numId w:val="1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Portuguese (Brazil): Friendly tone, colloquial expressions (e.g., “Beleza?”)</w:t>
      </w:r>
    </w:p>
    <w:p w14:paraId="1C4D1C00">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Localization Annotations:</w:t>
      </w:r>
    </w:p>
    <w:p w14:paraId="5537DC7A">
      <w:pPr>
        <w:pStyle w:val="15"/>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Time format: “2:00 pm” (US), “14:00” (EU/Asia).</w:t>
      </w:r>
    </w:p>
    <w:p w14:paraId="5B12222A">
      <w:pPr>
        <w:pStyle w:val="15"/>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Date format: “MM/DD/YYYY” vs. “DD/MM/YYYY.”</w:t>
      </w:r>
    </w:p>
    <w:p w14:paraId="61B58A09">
      <w:pPr>
        <w:pStyle w:val="15"/>
        <w:numPr>
          <w:ilvl w:val="0"/>
          <w:numId w:val="1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Currency: display base price in USD with local conversion and icon.</w:t>
      </w:r>
    </w:p>
    <w:p w14:paraId="0C7D60E0">
      <w:pPr>
        <w:spacing w:line="360" w:lineRule="auto"/>
        <w:jc w:val="both"/>
        <w:rPr>
          <w:rFonts w:ascii="Times New Roman" w:hAnsi="Times New Roman" w:cs="Times New Roman"/>
          <w:sz w:val="24"/>
          <w:szCs w:val="24"/>
          <w:lang w:val="en-AU"/>
        </w:rPr>
      </w:pPr>
    </w:p>
    <w:p w14:paraId="40FA308A">
      <w:pPr>
        <w:pStyle w:val="2"/>
        <w:rPr>
          <w:lang w:val="en-AU"/>
        </w:rPr>
      </w:pPr>
      <w:bookmarkStart w:id="8" w:name="_Toc199190179"/>
      <w:r>
        <w:rPr>
          <w:lang w:val="en-AU"/>
        </w:rPr>
        <w:t>4. Web Content</w:t>
      </w:r>
      <w:bookmarkEnd w:id="8"/>
    </w:p>
    <w:p w14:paraId="7620E7CC">
      <w:pPr>
        <w:rPr>
          <w:lang w:val="en-AU"/>
        </w:rPr>
      </w:pPr>
    </w:p>
    <w:p w14:paraId="5924FCB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Having a website that is very presentable and at the same time effective is very important in the attempt to bring and keep digital nomads interested. The strategy suggested below enables mere mortals to get the information they need, book, and be part of the community without problems and with joy (Cybersecurity &amp; Infrastructure Security Agency [CISA], n.d.).</w:t>
      </w:r>
    </w:p>
    <w:p w14:paraId="7AFEF4FA">
      <w:pPr>
        <w:pStyle w:val="3"/>
        <w:rPr>
          <w:lang w:val="en-AU"/>
        </w:rPr>
      </w:pPr>
      <w:bookmarkStart w:id="9" w:name="_Toc199190180"/>
      <w:r>
        <w:rPr>
          <w:lang w:val="en-AU"/>
        </w:rPr>
        <w:t>4.1. Hub Landing Page</w:t>
      </w:r>
      <w:bookmarkEnd w:id="9"/>
    </w:p>
    <w:p w14:paraId="1B3ADD00">
      <w:pPr>
        <w:rPr>
          <w:lang w:val="en-AU"/>
        </w:rPr>
      </w:pPr>
    </w:p>
    <w:p w14:paraId="2209237E">
      <w:pPr>
        <w:pStyle w:val="15"/>
        <w:numPr>
          <w:ilvl w:val="0"/>
          <w:numId w:val="1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Picture Right at the Top:</w:t>
      </w:r>
    </w:p>
    <w:p w14:paraId="53A3583D">
      <w:pPr>
        <w:pStyle w:val="15"/>
        <w:numPr>
          <w:ilvl w:val="0"/>
          <w:numId w:val="1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Captions: "Create. Discover. Interact."</w:t>
      </w:r>
    </w:p>
    <w:p w14:paraId="3C7CF03B">
      <w:pPr>
        <w:pStyle w:val="15"/>
        <w:numPr>
          <w:ilvl w:val="0"/>
          <w:numId w:val="1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Subheading: "A co-working space in [City] set up for digital nomads, by digital nomads."</w:t>
      </w:r>
    </w:p>
    <w:p w14:paraId="2018D9A2">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Decide on the Next Step:</w:t>
      </w:r>
    </w:p>
    <w:p w14:paraId="7461D94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Find a Pass</w:t>
      </w:r>
    </w:p>
    <w:p w14:paraId="68D9E9F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Schedule a Virtual Tour</w:t>
      </w:r>
    </w:p>
    <w:p w14:paraId="0AF25D5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Main Characteristics of the Service (USPs):</w:t>
      </w:r>
    </w:p>
    <w:p w14:paraId="0EF47315">
      <w:pPr>
        <w:pStyle w:val="15"/>
        <w:numPr>
          <w:ilvl w:val="0"/>
          <w:numId w:val="1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Capacity for 24 hours with Wi-Fi and phone boot, and the support of a private network</w:t>
      </w:r>
    </w:p>
    <w:p w14:paraId="52EFAC3E">
      <w:pPr>
        <w:pStyle w:val="15"/>
        <w:numPr>
          <w:ilvl w:val="0"/>
          <w:numId w:val="1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Regularly organised community get-togethers and discounts on various merchandise at several local spots</w:t>
      </w:r>
    </w:p>
    <w:p w14:paraId="4FAFA887">
      <w:pPr>
        <w:pStyle w:val="15"/>
        <w:numPr>
          <w:ilvl w:val="0"/>
          <w:numId w:val="1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Immediate Digi-Support and Guided Yoga/Mindfulness Practices</w:t>
      </w:r>
    </w:p>
    <w:p w14:paraId="20E1335D">
      <w:pPr>
        <w:pStyle w:val="3"/>
        <w:rPr>
          <w:lang w:val="en-AU"/>
        </w:rPr>
      </w:pPr>
      <w:bookmarkStart w:id="10" w:name="_Toc199190181"/>
      <w:r>
        <w:rPr>
          <w:lang w:val="en-AU"/>
        </w:rPr>
        <w:t>4.2 Resource Hub</w:t>
      </w:r>
      <w:bookmarkEnd w:id="10"/>
    </w:p>
    <w:p w14:paraId="5E431798">
      <w:pPr>
        <w:rPr>
          <w:lang w:val="en-AU"/>
        </w:rPr>
      </w:pPr>
    </w:p>
    <w:p w14:paraId="7A7C34F9">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Urban Map:</w:t>
      </w:r>
    </w:p>
    <w:p w14:paraId="0A092B86">
      <w:pPr>
        <w:pStyle w:val="15"/>
        <w:numPr>
          <w:ilvl w:val="0"/>
          <w:numId w:val="1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 wide range of the following is seen on it: co-working spaces, cafés, a gym, public transportation, and emergency services.</w:t>
      </w:r>
    </w:p>
    <w:p w14:paraId="1CD758EC">
      <w:pPr>
        <w:pStyle w:val="15"/>
        <w:numPr>
          <w:ilvl w:val="0"/>
          <w:numId w:val="1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Downloadable Guides:</w:t>
      </w:r>
    </w:p>
    <w:p w14:paraId="0C7B13C7">
      <w:pPr>
        <w:pStyle w:val="15"/>
        <w:numPr>
          <w:ilvl w:val="0"/>
          <w:numId w:val="1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Start-up kits in PDF</w:t>
      </w:r>
    </w:p>
    <w:p w14:paraId="68B27C0D">
      <w:pPr>
        <w:pStyle w:val="15"/>
        <w:numPr>
          <w:ilvl w:val="0"/>
          <w:numId w:val="1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City-specific safety and workplace etiquette guides</w:t>
      </w:r>
    </w:p>
    <w:p w14:paraId="224DF8D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Banner inquired about FAQs:</w:t>
      </w:r>
    </w:p>
    <w:p w14:paraId="2450C63F">
      <w:pPr>
        <w:pStyle w:val="15"/>
        <w:numPr>
          <w:ilvl w:val="0"/>
          <w:numId w:val="1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"Are there options for monthly billing available to me?"</w:t>
      </w:r>
    </w:p>
    <w:p w14:paraId="49D22CD0">
      <w:pPr>
        <w:pStyle w:val="15"/>
        <w:numPr>
          <w:ilvl w:val="0"/>
          <w:numId w:val="1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"May I let other people into the space?"</w:t>
      </w:r>
    </w:p>
    <w:p w14:paraId="1F0DFDCF">
      <w:pPr>
        <w:pStyle w:val="15"/>
        <w:numPr>
          <w:ilvl w:val="0"/>
          <w:numId w:val="1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"How can I cancel my booking?"</w:t>
      </w:r>
    </w:p>
    <w:p w14:paraId="76CEA44B">
      <w:pPr>
        <w:pStyle w:val="3"/>
        <w:rPr>
          <w:lang w:val="en-AU"/>
        </w:rPr>
      </w:pPr>
      <w:bookmarkStart w:id="11" w:name="_Toc199190182"/>
      <w:r>
        <w:rPr>
          <w:lang w:val="en-AU"/>
        </w:rPr>
        <w:t>4.3 Blog &amp; Newsletter Section</w:t>
      </w:r>
      <w:bookmarkEnd w:id="11"/>
    </w:p>
    <w:p w14:paraId="10459146">
      <w:pPr>
        <w:rPr>
          <w:lang w:val="en-AU"/>
        </w:rPr>
      </w:pPr>
    </w:p>
    <w:p w14:paraId="7081D6FE">
      <w:pPr>
        <w:pStyle w:val="15"/>
        <w:numPr>
          <w:ilvl w:val="0"/>
          <w:numId w:val="1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Users as Guest Authors:</w:t>
      </w:r>
    </w:p>
    <w:p w14:paraId="4021B0F4">
      <w:pPr>
        <w:pStyle w:val="15"/>
        <w:numPr>
          <w:ilvl w:val="0"/>
          <w:numId w:val="1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Weave authentic tales like "__I__[balance]Work &amp; Surfing in Bali__."</w:t>
      </w:r>
    </w:p>
    <w:p w14:paraId="678E6305">
      <w:pPr>
        <w:spacing w:line="360" w:lineRule="auto"/>
        <w:ind w:left="360"/>
        <w:jc w:val="both"/>
        <w:rPr>
          <w:rFonts w:ascii="Times New Roman" w:hAnsi="Times New Roman" w:cs="Times New Roman"/>
          <w:sz w:val="24"/>
          <w:szCs w:val="24"/>
          <w:lang w:val="en-AU"/>
        </w:rPr>
      </w:pPr>
      <w:r>
        <w:rPr>
          <w:rFonts w:ascii="Times New Roman" w:hAnsi="Times New Roman" w:cs="Times New Roman"/>
          <w:sz w:val="24"/>
          <w:szCs w:val="24"/>
          <w:lang w:val="en-AU"/>
        </w:rPr>
        <w:t>Local Features:</w:t>
      </w:r>
    </w:p>
    <w:p w14:paraId="5C79A39C">
      <w:pPr>
        <w:pStyle w:val="15"/>
        <w:numPr>
          <w:ilvl w:val="0"/>
          <w:numId w:val="1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They contain interviews of museum coffee shop owners, cultural icons, and voices that should be heard in the nomad community.</w:t>
      </w:r>
    </w:p>
    <w:p w14:paraId="41868DFC">
      <w:pPr>
        <w:spacing w:line="360" w:lineRule="auto"/>
        <w:ind w:left="360"/>
        <w:jc w:val="both"/>
        <w:rPr>
          <w:rFonts w:ascii="Times New Roman" w:hAnsi="Times New Roman" w:cs="Times New Roman"/>
          <w:sz w:val="24"/>
          <w:szCs w:val="24"/>
          <w:lang w:val="en-AU"/>
        </w:rPr>
      </w:pPr>
      <w:r>
        <w:rPr>
          <w:rFonts w:ascii="Times New Roman" w:hAnsi="Times New Roman" w:cs="Times New Roman"/>
          <w:sz w:val="24"/>
          <w:szCs w:val="24"/>
          <w:lang w:val="en-AU"/>
        </w:rPr>
        <w:t>Newsletter Archive:</w:t>
      </w:r>
    </w:p>
    <w:p w14:paraId="602A2ED5">
      <w:pPr>
        <w:spacing w:line="360" w:lineRule="auto"/>
        <w:ind w:left="360"/>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508625" cy="24193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521601" cy="2425196"/>
                    </a:xfrm>
                    <a:prstGeom prst="rect">
                      <a:avLst/>
                    </a:prstGeom>
                    <a:noFill/>
                  </pic:spPr>
                </pic:pic>
              </a:graphicData>
            </a:graphic>
          </wp:inline>
        </w:drawing>
      </w:r>
    </w:p>
    <w:p w14:paraId="5E8FFB16">
      <w:pPr>
        <w:spacing w:line="360" w:lineRule="auto"/>
        <w:ind w:left="360"/>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https://blog.hubspot.com/marketing/email-newsletter-templates</w:t>
      </w:r>
    </w:p>
    <w:p w14:paraId="6201CF1E">
      <w:pPr>
        <w:pStyle w:val="15"/>
        <w:numPr>
          <w:ilvl w:val="0"/>
          <w:numId w:val="1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You can retrieve past writings from the categories of technology, culture, remote work, and personal health.</w:t>
      </w:r>
    </w:p>
    <w:p w14:paraId="7A73922E">
      <w:pPr>
        <w:pStyle w:val="15"/>
        <w:numPr>
          <w:ilvl w:val="0"/>
          <w:numId w:val="1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architecture forms a lively and enlightening user experience, and it also establishes trust and allows long-term engagement.</w:t>
      </w:r>
    </w:p>
    <w:p w14:paraId="3EBBD836">
      <w:pPr>
        <w:pStyle w:val="2"/>
        <w:rPr>
          <w:lang w:val="en-AU"/>
        </w:rPr>
      </w:pPr>
      <w:bookmarkStart w:id="12" w:name="_Toc199190183"/>
      <w:r>
        <w:rPr>
          <w:lang w:val="en-AU"/>
        </w:rPr>
        <w:t>5. Onboarding Information Kits</w:t>
      </w:r>
      <w:bookmarkEnd w:id="12"/>
    </w:p>
    <w:p w14:paraId="27E3F8FE">
      <w:pPr>
        <w:rPr>
          <w:lang w:val="en-AU"/>
        </w:rPr>
      </w:pPr>
    </w:p>
    <w:p w14:paraId="24048FB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For the purpose of ensuring new members of the hub have a smooth and uninterrupted experience, the organisation has designed individualised and digital kits that contain the onboarding materials that the members can use. These materials are designed to make users familiar with the co-working space and the local area quickly. Such familiarity provided by the kits is a reason for the users to have confidence and independence, and thus be more engaged from their first day onward.</w:t>
      </w:r>
    </w:p>
    <w:p w14:paraId="478BD805">
      <w:pPr>
        <w:pStyle w:val="9"/>
        <w:jc w:val="center"/>
      </w:pPr>
      <w:r>
        <w:drawing>
          <wp:inline distT="0" distB="0" distL="0" distR="0">
            <wp:extent cx="4015740" cy="4015740"/>
            <wp:effectExtent l="0" t="0" r="381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4015740" cy="4015740"/>
                    </a:xfrm>
                    <a:prstGeom prst="rect">
                      <a:avLst/>
                    </a:prstGeom>
                    <a:noFill/>
                    <a:ln>
                      <a:noFill/>
                    </a:ln>
                  </pic:spPr>
                </pic:pic>
              </a:graphicData>
            </a:graphic>
          </wp:inline>
        </w:drawing>
      </w:r>
    </w:p>
    <w:p w14:paraId="7E4840C0">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(Created by me)</w:t>
      </w:r>
    </w:p>
    <w:p w14:paraId="4BD5647A">
      <w:pPr>
        <w:spacing w:line="360" w:lineRule="auto"/>
        <w:jc w:val="both"/>
        <w:rPr>
          <w:rFonts w:ascii="Times New Roman" w:hAnsi="Times New Roman" w:cs="Times New Roman"/>
          <w:sz w:val="24"/>
          <w:szCs w:val="24"/>
          <w:lang w:val="en-AU"/>
        </w:rPr>
      </w:pPr>
    </w:p>
    <w:p w14:paraId="5E0AC8BB">
      <w:pPr>
        <w:pStyle w:val="3"/>
        <w:rPr>
          <w:lang w:val="en-AU"/>
        </w:rPr>
      </w:pPr>
      <w:bookmarkStart w:id="13" w:name="_Toc199190184"/>
      <w:r>
        <w:rPr>
          <w:lang w:val="en-AU"/>
        </w:rPr>
        <w:t>5.1 Digital Welcome Packet</w:t>
      </w:r>
      <w:bookmarkEnd w:id="13"/>
    </w:p>
    <w:p w14:paraId="3DC909DB">
      <w:pPr>
        <w:rPr>
          <w:lang w:val="en-AU"/>
        </w:rPr>
      </w:pPr>
    </w:p>
    <w:p w14:paraId="5EC398E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Format:</w:t>
      </w:r>
    </w:p>
    <w:p w14:paraId="10CECAFD">
      <w:pPr>
        <w:pStyle w:val="15"/>
        <w:numPr>
          <w:ilvl w:val="0"/>
          <w:numId w:val="1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Available through a flash microsite, which is also interactive </w:t>
      </w:r>
    </w:p>
    <w:p w14:paraId="684E0E4B">
      <w:pPr>
        <w:pStyle w:val="15"/>
        <w:numPr>
          <w:ilvl w:val="0"/>
          <w:numId w:val="1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Also, in the form of a PDF, the mobile version is quite friendly</w:t>
      </w:r>
    </w:p>
    <w:p w14:paraId="158750E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Contents Include:</w:t>
      </w:r>
    </w:p>
    <w:p w14:paraId="033778DA">
      <w:pPr>
        <w:pStyle w:val="15"/>
        <w:numPr>
          <w:ilvl w:val="0"/>
          <w:numId w:val="1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Hub: An introduction to resources and services provided by facilities</w:t>
      </w:r>
    </w:p>
    <w:p w14:paraId="0223E8E3">
      <w:pPr>
        <w:pStyle w:val="15"/>
        <w:numPr>
          <w:ilvl w:val="0"/>
          <w:numId w:val="1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Broadway shows of: Different areas in the workspace, such as the phone booths, kitchens, and even the relaxing lounge</w:t>
      </w:r>
    </w:p>
    <w:p w14:paraId="36AA0DF5">
      <w:pPr>
        <w:pStyle w:val="15"/>
        <w:numPr>
          <w:ilvl w:val="0"/>
          <w:numId w:val="1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Wi-Fi Codes: Login details on how to securely connect to the main and guest wireless networks</w:t>
      </w:r>
    </w:p>
    <w:p w14:paraId="34E6310A">
      <w:pPr>
        <w:pStyle w:val="15"/>
        <w:numPr>
          <w:ilvl w:val="0"/>
          <w:numId w:val="1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Civic Society: Codes of conduct, silent areas, and event etiquette</w:t>
      </w:r>
    </w:p>
    <w:p w14:paraId="7DF411F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Quick Access Links:</w:t>
      </w:r>
    </w:p>
    <w:p w14:paraId="17612511">
      <w:pPr>
        <w:pStyle w:val="15"/>
        <w:numPr>
          <w:ilvl w:val="0"/>
          <w:numId w:val="1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Chatbot for answering questions</w:t>
      </w:r>
    </w:p>
    <w:p w14:paraId="04D7C0D7">
      <w:pPr>
        <w:pStyle w:val="15"/>
        <w:numPr>
          <w:ilvl w:val="0"/>
          <w:numId w:val="1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Helpdesk ticket submission</w:t>
      </w:r>
    </w:p>
    <w:p w14:paraId="640DAC67">
      <w:pPr>
        <w:pStyle w:val="15"/>
        <w:numPr>
          <w:ilvl w:val="0"/>
          <w:numId w:val="19"/>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Accessibility to social media and getting an invite to the member group of the organisation</w:t>
      </w:r>
    </w:p>
    <w:p w14:paraId="7B9BE360">
      <w:pPr>
        <w:pStyle w:val="3"/>
        <w:rPr>
          <w:lang w:val="en-AU"/>
        </w:rPr>
      </w:pPr>
      <w:bookmarkStart w:id="14" w:name="_Toc199190185"/>
      <w:r>
        <w:rPr>
          <w:lang w:val="en-AU"/>
        </w:rPr>
        <w:t>5.2 Local Logistics Guide</w:t>
      </w:r>
      <w:bookmarkEnd w:id="14"/>
    </w:p>
    <w:p w14:paraId="351751E2">
      <w:pPr>
        <w:rPr>
          <w:lang w:val="en-AU"/>
        </w:rPr>
      </w:pPr>
    </w:p>
    <w:p w14:paraId="266ED2A9">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Cell Phone Card &amp; eSIM Providers:</w:t>
      </w:r>
    </w:p>
    <w:p w14:paraId="04946FBF">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Comparison of leading brands</w:t>
      </w:r>
    </w:p>
    <w:p w14:paraId="4D8F9767">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Details of the latest offers and vacation packages</w:t>
      </w:r>
    </w:p>
    <w:p w14:paraId="18B019EB">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Top-up apps and steps in the SIM registration process</w:t>
      </w:r>
    </w:p>
    <w:p w14:paraId="36DF1B7F">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Variety of Transport Solutions:</w:t>
      </w:r>
    </w:p>
    <w:p w14:paraId="282EA9C9">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Time Bike Program</w:t>
      </w:r>
    </w:p>
    <w:p w14:paraId="213444E9">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Ride-hailing and Taxi Services</w:t>
      </w:r>
    </w:p>
    <w:p w14:paraId="6D445DA8">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Underground and buses, and how they work</w:t>
      </w:r>
    </w:p>
    <w:p w14:paraId="72C9ED04">
      <w:pPr>
        <w:spacing w:line="360" w:lineRule="auto"/>
        <w:ind w:left="360"/>
        <w:jc w:val="both"/>
        <w:rPr>
          <w:rFonts w:ascii="Times New Roman" w:hAnsi="Times New Roman" w:cs="Times New Roman"/>
          <w:sz w:val="24"/>
          <w:szCs w:val="24"/>
          <w:lang w:val="en-AU"/>
        </w:rPr>
      </w:pPr>
      <w:r>
        <w:rPr>
          <w:rFonts w:ascii="Times New Roman" w:hAnsi="Times New Roman" w:cs="Times New Roman"/>
          <w:sz w:val="24"/>
          <w:szCs w:val="24"/>
          <w:lang w:val="en-AU"/>
        </w:rPr>
        <w:t>Membership Area Access Information:</w:t>
      </w:r>
    </w:p>
    <w:p w14:paraId="47969D60">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Benefits of day passes vs monthly memberships</w:t>
      </w:r>
    </w:p>
    <w:p w14:paraId="78204D81">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Taking reservations for hot desks and private rooms</w:t>
      </w:r>
    </w:p>
    <w:p w14:paraId="0A4A41B5">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Locker rental process and availability</w:t>
      </w:r>
    </w:p>
    <w:p w14:paraId="5DC76956">
      <w:pPr>
        <w:spacing w:line="360" w:lineRule="auto"/>
        <w:ind w:left="360"/>
        <w:jc w:val="both"/>
        <w:rPr>
          <w:rFonts w:ascii="Times New Roman" w:hAnsi="Times New Roman" w:cs="Times New Roman"/>
          <w:sz w:val="24"/>
          <w:szCs w:val="24"/>
          <w:lang w:val="en-AU"/>
        </w:rPr>
      </w:pPr>
      <w:r>
        <w:rPr>
          <w:rFonts w:ascii="Times New Roman" w:hAnsi="Times New Roman" w:cs="Times New Roman"/>
          <w:sz w:val="24"/>
          <w:szCs w:val="24"/>
          <w:lang w:val="en-AU"/>
        </w:rPr>
        <w:t>Essential Apps for Nomads:</w:t>
      </w:r>
    </w:p>
    <w:p w14:paraId="4620E501">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Currency converter (e.g., XE)</w:t>
      </w:r>
    </w:p>
    <w:p w14:paraId="76FE2C41">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Language translation (e.g., Google Translate)</w:t>
      </w:r>
    </w:p>
    <w:p w14:paraId="0FF4B21A">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Offline maps and local navigation tools (e.g., Maps.me)</w:t>
      </w:r>
    </w:p>
    <w:p w14:paraId="396145EB">
      <w:pPr>
        <w:pStyle w:val="15"/>
        <w:numPr>
          <w:ilvl w:val="0"/>
          <w:numId w:val="20"/>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kits mentioned are supportive when it comes to having the newcomers go to the place and the city in a hassle-free manner.</w:t>
      </w:r>
    </w:p>
    <w:p w14:paraId="63C4243B">
      <w:pPr>
        <w:spacing w:line="360" w:lineRule="auto"/>
        <w:jc w:val="both"/>
        <w:rPr>
          <w:rFonts w:ascii="Times New Roman" w:hAnsi="Times New Roman" w:cs="Times New Roman"/>
          <w:sz w:val="24"/>
          <w:szCs w:val="24"/>
          <w:lang w:val="en-AU"/>
        </w:rPr>
      </w:pPr>
    </w:p>
    <w:p w14:paraId="76AEDFCB">
      <w:pPr>
        <w:pStyle w:val="2"/>
        <w:rPr>
          <w:lang w:val="en-AU"/>
        </w:rPr>
      </w:pPr>
      <w:r>
        <w:rPr>
          <w:lang w:val="en-AU"/>
        </w:rPr>
        <w:t xml:space="preserve"> </w:t>
      </w:r>
      <w:bookmarkStart w:id="15" w:name="_Toc199190186"/>
      <w:r>
        <w:rPr>
          <w:lang w:val="en-AU"/>
        </w:rPr>
        <w:t>6. Co-Working Etiquette Guidelines</w:t>
      </w:r>
      <w:bookmarkEnd w:id="15"/>
      <w:r>
        <w:rPr>
          <w:lang w:val="en-AU"/>
        </w:rPr>
        <w:t xml:space="preserve"> </w:t>
      </w:r>
    </w:p>
    <w:p w14:paraId="79D8C082">
      <w:pPr>
        <w:rPr>
          <w:lang w:val="en-AU"/>
        </w:rPr>
      </w:pPr>
    </w:p>
    <w:p w14:paraId="2DCC725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 Creating a respectful, inclusive, and productive environment is very important for shared working spaces. This list of etiquette guidelines helps digital nomads in understanding the cultural differences and learning about the expectations of the shared space, also it gives a culture of harmony in the community.</w:t>
      </w:r>
    </w:p>
    <w:p w14:paraId="6ECD64DB">
      <w:pPr>
        <w:pStyle w:val="9"/>
        <w:jc w:val="center"/>
      </w:pPr>
      <w:r>
        <w:drawing>
          <wp:inline distT="0" distB="0" distL="0" distR="0">
            <wp:extent cx="5731510" cy="286575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731510" cy="2865755"/>
                    </a:xfrm>
                    <a:prstGeom prst="rect">
                      <a:avLst/>
                    </a:prstGeom>
                    <a:noFill/>
                    <a:ln>
                      <a:noFill/>
                    </a:ln>
                  </pic:spPr>
                </pic:pic>
              </a:graphicData>
            </a:graphic>
          </wp:inline>
        </w:drawing>
      </w:r>
    </w:p>
    <w:p w14:paraId="607EFAC1">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(Created by me)</w:t>
      </w:r>
    </w:p>
    <w:p w14:paraId="63C60AF9">
      <w:pPr>
        <w:spacing w:line="360" w:lineRule="auto"/>
        <w:jc w:val="both"/>
        <w:rPr>
          <w:rFonts w:ascii="Times New Roman" w:hAnsi="Times New Roman" w:cs="Times New Roman"/>
          <w:sz w:val="24"/>
          <w:szCs w:val="24"/>
          <w:lang w:val="en-AU"/>
        </w:rPr>
      </w:pPr>
    </w:p>
    <w:p w14:paraId="174A8C22">
      <w:pPr>
        <w:pStyle w:val="3"/>
        <w:rPr>
          <w:lang w:val="en-AU"/>
        </w:rPr>
      </w:pPr>
      <w:bookmarkStart w:id="16" w:name="_Toc199190187"/>
      <w:r>
        <w:rPr>
          <w:lang w:val="en-AU"/>
        </w:rPr>
        <w:t>6.1 Shared-Space Best Practices</w:t>
      </w:r>
      <w:bookmarkEnd w:id="16"/>
    </w:p>
    <w:p w14:paraId="3893A2B6">
      <w:pPr>
        <w:rPr>
          <w:lang w:val="en-AU"/>
        </w:rPr>
      </w:pPr>
    </w:p>
    <w:p w14:paraId="21EEADC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Noise Management:</w:t>
      </w:r>
    </w:p>
    <w:p w14:paraId="5C8C5778">
      <w:pPr>
        <w:pStyle w:val="15"/>
        <w:numPr>
          <w:ilvl w:val="0"/>
          <w:numId w:val="2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Set aside telephone booths for all your voice/video calls</w:t>
      </w:r>
    </w:p>
    <w:p w14:paraId="0F0483B1">
      <w:pPr>
        <w:pStyle w:val="15"/>
        <w:numPr>
          <w:ilvl w:val="0"/>
          <w:numId w:val="2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While listening to music or watching content, wear your headphones</w:t>
      </w:r>
    </w:p>
    <w:p w14:paraId="3B3CE2C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Resource Sharing:</w:t>
      </w:r>
    </w:p>
    <w:p w14:paraId="29D414EE">
      <w:pPr>
        <w:pStyle w:val="15"/>
        <w:numPr>
          <w:ilvl w:val="0"/>
          <w:numId w:val="2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Do the prior booking of the meeting rooms through the online booking system</w:t>
      </w:r>
    </w:p>
    <w:p w14:paraId="4833A9E1">
      <w:pPr>
        <w:pStyle w:val="15"/>
        <w:numPr>
          <w:ilvl w:val="0"/>
          <w:numId w:val="2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After the equipment and spaces are used, leave them clean and well-organised</w:t>
      </w:r>
    </w:p>
    <w:p w14:paraId="0108F82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Food &amp; Drink Etiquette:</w:t>
      </w:r>
    </w:p>
    <w:p w14:paraId="5024BAB9">
      <w:pPr>
        <w:pStyle w:val="15"/>
        <w:numPr>
          <w:ilvl w:val="0"/>
          <w:numId w:val="2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Use cups with lids to prevent liquids from spilling and getting into the computer equipment</w:t>
      </w:r>
    </w:p>
    <w:p w14:paraId="2C1C1AC9">
      <w:pPr>
        <w:pStyle w:val="15"/>
        <w:numPr>
          <w:ilvl w:val="0"/>
          <w:numId w:val="2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Tidy up all the leftover food, also, don't eat in open places where the food's smell can disturb other people</w:t>
      </w:r>
    </w:p>
    <w:p w14:paraId="4D3C4C36">
      <w:pPr>
        <w:pStyle w:val="3"/>
        <w:rPr>
          <w:lang w:val="en-AU"/>
        </w:rPr>
      </w:pPr>
      <w:bookmarkStart w:id="17" w:name="_Toc199190188"/>
      <w:r>
        <w:rPr>
          <w:lang w:val="en-AU"/>
        </w:rPr>
        <w:t>6.2 Cultural Sensitivity Pointers</w:t>
      </w:r>
      <w:bookmarkEnd w:id="17"/>
    </w:p>
    <w:p w14:paraId="13453F7E">
      <w:pPr>
        <w:rPr>
          <w:lang w:val="en-AU"/>
        </w:rPr>
      </w:pPr>
    </w:p>
    <w:p w14:paraId="1D44A07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Respect for Personal Space:</w:t>
      </w:r>
    </w:p>
    <w:p w14:paraId="6CCDB253">
      <w:pPr>
        <w:pStyle w:val="15"/>
        <w:numPr>
          <w:ilvl w:val="0"/>
          <w:numId w:val="2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Be mindful of the customs of that particular region (e.g., handshake, cheek kiss, etc.)</w:t>
      </w:r>
    </w:p>
    <w:p w14:paraId="2A3F0EF8">
      <w:pPr>
        <w:pStyle w:val="15"/>
        <w:numPr>
          <w:ilvl w:val="0"/>
          <w:numId w:val="2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Avoid gathering or standing around a person in a way that is looked upon as offensive in communal areas</w:t>
      </w:r>
    </w:p>
    <w:p w14:paraId="502DFA76">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Tipping Etiquette:</w:t>
      </w:r>
    </w:p>
    <w:p w14:paraId="0EEE6DD1">
      <w:pPr>
        <w:pStyle w:val="15"/>
        <w:numPr>
          <w:ilvl w:val="0"/>
          <w:numId w:val="2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Supply both printed and digital explanations of the tips, i.e., 10-15% in the U.S., tipping in Japan is not part of the culture</w:t>
      </w:r>
    </w:p>
    <w:p w14:paraId="6BF7A27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Dress Code Expectations:</w:t>
      </w:r>
    </w:p>
    <w:p w14:paraId="161FE01C">
      <w:pPr>
        <w:pStyle w:val="15"/>
        <w:numPr>
          <w:ilvl w:val="0"/>
          <w:numId w:val="2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Wear office-casual clothes while you are working</w:t>
      </w:r>
    </w:p>
    <w:p w14:paraId="5FE54CD7">
      <w:pPr>
        <w:pStyle w:val="15"/>
        <w:numPr>
          <w:ilvl w:val="0"/>
          <w:numId w:val="2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Do not put on flip-flops and sportswear in the formal meeting room</w:t>
      </w:r>
    </w:p>
    <w:p w14:paraId="7AC1B68F">
      <w:pPr>
        <w:pStyle w:val="3"/>
        <w:rPr>
          <w:lang w:val="en-AU"/>
        </w:rPr>
      </w:pPr>
      <w:bookmarkStart w:id="18" w:name="_Toc199190189"/>
      <w:r>
        <w:rPr>
          <w:lang w:val="en-AU"/>
        </w:rPr>
        <w:t>6.3 Infographic Quick-Reference</w:t>
      </w:r>
      <w:bookmarkEnd w:id="18"/>
    </w:p>
    <w:p w14:paraId="07E06E94">
      <w:pPr>
        <w:rPr>
          <w:lang w:val="en-AU"/>
        </w:rPr>
      </w:pPr>
    </w:p>
    <w:p w14:paraId="74857FB6">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Visual Layout:</w:t>
      </w:r>
    </w:p>
    <w:p w14:paraId="40815B6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top 5 dos and don’ts in the layout should be highlighted with colour-coded icons</w:t>
      </w:r>
    </w:p>
    <w:p w14:paraId="3D9B989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icons used can be of volume and cleanliness of the items, as well as the personal space and dress code</w:t>
      </w:r>
    </w:p>
    <w:p w14:paraId="1539B878">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Placement:</w:t>
      </w:r>
    </w:p>
    <w:p w14:paraId="62667E6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Print and display the hard copies of the posters near the entrances, kitchens, and phone booths</w:t>
      </w:r>
    </w:p>
    <w:p w14:paraId="110B1E3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Have a downloadable version of the poster in the digital welcome kit and community portal</w:t>
      </w:r>
    </w:p>
    <w:p w14:paraId="08F5976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inclusive and clear guidelines not only make all co-workers feel respected and valued but also promote high productivity among them.</w:t>
      </w:r>
    </w:p>
    <w:p w14:paraId="50BF3B97">
      <w:pPr>
        <w:pStyle w:val="2"/>
        <w:rPr>
          <w:lang w:val="en-AU"/>
        </w:rPr>
      </w:pPr>
      <w:bookmarkStart w:id="19" w:name="_Toc199190190"/>
      <w:r>
        <w:rPr>
          <w:lang w:val="en-AU"/>
        </w:rPr>
        <w:t>7. Digital Safety Tips</w:t>
      </w:r>
      <w:bookmarkEnd w:id="19"/>
    </w:p>
    <w:p w14:paraId="10DD91DB">
      <w:pPr>
        <w:rPr>
          <w:lang w:val="en-AU"/>
        </w:rPr>
      </w:pPr>
    </w:p>
    <w:p w14:paraId="535DE785">
      <w:pPr>
        <w:pStyle w:val="3"/>
        <w:rPr>
          <w:lang w:val="en-AU"/>
        </w:rPr>
      </w:pPr>
      <w:bookmarkStart w:id="20" w:name="_Toc199190191"/>
      <w:r>
        <w:rPr>
          <w:lang w:val="en-AU"/>
        </w:rPr>
        <w:t>7.1 Secure Connectivity &amp; VPN Usage</w:t>
      </w:r>
      <w:bookmarkEnd w:id="20"/>
    </w:p>
    <w:p w14:paraId="3F0B616A">
      <w:pPr>
        <w:rPr>
          <w:lang w:val="en-AU"/>
        </w:rPr>
      </w:pPr>
    </w:p>
    <w:p w14:paraId="5487C716">
      <w:pPr>
        <w:pStyle w:val="15"/>
        <w:numPr>
          <w:ilvl w:val="0"/>
          <w:numId w:val="2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Suggest Trustworthy VPNs: Detail and where to get them, and make sure that the top three products are listed with affiliate links.  </w:t>
      </w:r>
    </w:p>
    <w:p w14:paraId="77ED74CD">
      <w:pPr>
        <w:pStyle w:val="15"/>
        <w:numPr>
          <w:ilvl w:val="0"/>
          <w:numId w:val="2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Step-by-Step Setup: Show details and illustrate Windows, macOS, iOS, and Android screenshots.</w:t>
      </w:r>
    </w:p>
    <w:p w14:paraId="6BA6C632">
      <w:pPr>
        <w:pStyle w:val="15"/>
        <w:numPr>
          <w:ilvl w:val="0"/>
          <w:numId w:val="2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Public Wi-Fi Precautions: Inform them about the use of SSL sites, not just the SSL encryption, and at the same time, tell them to avoid sensitive transactions so that no personal information will be shared with the wrong people.  </w:t>
      </w:r>
    </w:p>
    <w:p w14:paraId="0732FC17">
      <w:pPr>
        <w:pStyle w:val="9"/>
        <w:jc w:val="center"/>
      </w:pPr>
      <w:r>
        <w:drawing>
          <wp:inline distT="0" distB="0" distL="0" distR="0">
            <wp:extent cx="5731510" cy="35820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5731510" cy="3582035"/>
                    </a:xfrm>
                    <a:prstGeom prst="rect">
                      <a:avLst/>
                    </a:prstGeom>
                    <a:noFill/>
                    <a:ln>
                      <a:noFill/>
                    </a:ln>
                  </pic:spPr>
                </pic:pic>
              </a:graphicData>
            </a:graphic>
          </wp:inline>
        </w:drawing>
      </w:r>
    </w:p>
    <w:p w14:paraId="63F8272B">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t>Source: (Created by me)</w:t>
      </w:r>
    </w:p>
    <w:p w14:paraId="41F85D2F">
      <w:pPr>
        <w:spacing w:line="360" w:lineRule="auto"/>
        <w:jc w:val="both"/>
        <w:rPr>
          <w:rFonts w:ascii="Times New Roman" w:hAnsi="Times New Roman" w:cs="Times New Roman"/>
          <w:sz w:val="24"/>
          <w:szCs w:val="24"/>
          <w:lang w:val="en-AU"/>
        </w:rPr>
      </w:pPr>
    </w:p>
    <w:p w14:paraId="780E5164">
      <w:pPr>
        <w:pStyle w:val="3"/>
        <w:rPr>
          <w:lang w:val="en-AU"/>
        </w:rPr>
      </w:pPr>
      <w:bookmarkStart w:id="21" w:name="_Toc199190192"/>
      <w:r>
        <w:rPr>
          <w:lang w:val="en-AU"/>
        </w:rPr>
        <w:t>7.2 Data Backup &amp; Device Security</w:t>
      </w:r>
      <w:bookmarkEnd w:id="21"/>
    </w:p>
    <w:p w14:paraId="309909FD">
      <w:pPr>
        <w:rPr>
          <w:lang w:val="en-AU"/>
        </w:rPr>
      </w:pPr>
    </w:p>
    <w:p w14:paraId="58555274">
      <w:pPr>
        <w:pStyle w:val="15"/>
        <w:numPr>
          <w:ilvl w:val="0"/>
          <w:numId w:val="2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Automated Backup Tools: Go through the steps to Google Drive, iCloud, and Dropbox setups.</w:t>
      </w:r>
    </w:p>
    <w:p w14:paraId="5C48FFFC">
      <w:pPr>
        <w:pStyle w:val="15"/>
        <w:numPr>
          <w:ilvl w:val="0"/>
          <w:numId w:val="2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Password Hygiene: Get password managers (e.g., LastPass, 1Password) that will do the remembering for you.  </w:t>
      </w:r>
    </w:p>
    <w:p w14:paraId="77914A33">
      <w:pPr>
        <w:pStyle w:val="15"/>
        <w:numPr>
          <w:ilvl w:val="0"/>
          <w:numId w:val="24"/>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Two-Factor Authentication: It should be set up for your email, social, and banking.</w:t>
      </w:r>
    </w:p>
    <w:p w14:paraId="1BD876B3">
      <w:pPr>
        <w:pStyle w:val="3"/>
        <w:rPr>
          <w:lang w:val="en-AU"/>
        </w:rPr>
      </w:pPr>
      <w:bookmarkStart w:id="22" w:name="_Toc199190193"/>
      <w:r>
        <w:rPr>
          <w:lang w:val="en-AU"/>
        </w:rPr>
        <w:t>7.3 Emergency Contacts &amp; Insurance</w:t>
      </w:r>
      <w:bookmarkEnd w:id="22"/>
    </w:p>
    <w:p w14:paraId="00F5415F">
      <w:pPr>
        <w:rPr>
          <w:lang w:val="en-AU"/>
        </w:rPr>
      </w:pPr>
    </w:p>
    <w:p w14:paraId="5A4E615B">
      <w:pPr>
        <w:pStyle w:val="15"/>
        <w:numPr>
          <w:ilvl w:val="0"/>
          <w:numId w:val="2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Local Emergency Services: Write down the police, ambulance, and fire numbers.</w:t>
      </w:r>
    </w:p>
    <w:p w14:paraId="0BF9BFF8">
      <w:pPr>
        <w:pStyle w:val="15"/>
        <w:numPr>
          <w:ilvl w:val="0"/>
          <w:numId w:val="2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Travel Insurance Providers: Tell whoever is that this is the method of claiming money most quickly, or know who to get in touch with this very moment. </w:t>
      </w:r>
    </w:p>
    <w:p w14:paraId="074653C1">
      <w:pPr>
        <w:pStyle w:val="15"/>
        <w:numPr>
          <w:ilvl w:val="0"/>
          <w:numId w:val="25"/>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Incident Reporting: On this matter, they should tell hub management how to handle such incidents as the destruction of their property or the theft of data.</w:t>
      </w:r>
    </w:p>
    <w:p w14:paraId="3007D19B">
      <w:pPr>
        <w:pStyle w:val="2"/>
        <w:rPr>
          <w:lang w:val="en-AU"/>
        </w:rPr>
      </w:pPr>
      <w:bookmarkStart w:id="23" w:name="_Toc199190194"/>
      <w:r>
        <w:rPr>
          <w:lang w:val="en-AU"/>
        </w:rPr>
        <w:t>8. Localisation &amp; Cross-Cultural Personalisation</w:t>
      </w:r>
      <w:bookmarkEnd w:id="23"/>
    </w:p>
    <w:p w14:paraId="12490A35">
      <w:pPr>
        <w:rPr>
          <w:lang w:val="en-AU"/>
        </w:rPr>
      </w:pPr>
    </w:p>
    <w:p w14:paraId="3700ED84">
      <w:pPr>
        <w:pStyle w:val="3"/>
        <w:rPr>
          <w:lang w:val="en-AU"/>
        </w:rPr>
      </w:pPr>
      <w:bookmarkStart w:id="24" w:name="_Toc199190195"/>
      <w:r>
        <w:rPr>
          <w:lang w:val="en-AU"/>
        </w:rPr>
        <w:t>8.1 Tone, Style &amp; Visual Adaptations</w:t>
      </w:r>
      <w:bookmarkEnd w:id="24"/>
    </w:p>
    <w:p w14:paraId="3FA72683">
      <w:pPr>
        <w:jc w:val="center"/>
        <w:rPr>
          <w:lang w:val="en-AU"/>
        </w:rPr>
      </w:pPr>
      <w:r>
        <w:drawing>
          <wp:inline distT="0" distB="0" distL="0" distR="0">
            <wp:extent cx="3552190" cy="3552190"/>
            <wp:effectExtent l="0" t="0" r="0" b="0"/>
            <wp:docPr id="8" name="Picture 8" descr="Localization (L10n): Meaning, Benefits &amp; Strategies | Phr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calization (L10n): Meaning, Benefits &amp; Strategies | Phras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552190" cy="3552190"/>
                    </a:xfrm>
                    <a:prstGeom prst="rect">
                      <a:avLst/>
                    </a:prstGeom>
                    <a:noFill/>
                    <a:ln>
                      <a:noFill/>
                    </a:ln>
                  </pic:spPr>
                </pic:pic>
              </a:graphicData>
            </a:graphic>
          </wp:inline>
        </w:drawing>
      </w:r>
    </w:p>
    <w:p w14:paraId="5A609E30">
      <w:pPr>
        <w:jc w:val="center"/>
        <w:rPr>
          <w:i/>
          <w:iCs/>
          <w:lang w:val="en-AU"/>
        </w:rPr>
      </w:pPr>
      <w:r>
        <w:rPr>
          <w:i/>
          <w:iCs/>
          <w:lang w:val="en-AU"/>
        </w:rPr>
        <w:t>Source: https://phrase.com/blog/posts/how-important-is-localization-for-your-business/</w:t>
      </w:r>
    </w:p>
    <w:p w14:paraId="39A4C25C">
      <w:pPr>
        <w:pStyle w:val="15"/>
        <w:numPr>
          <w:ilvl w:val="0"/>
          <w:numId w:val="2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Tone Guidelines:</w:t>
      </w:r>
    </w:p>
    <w:p w14:paraId="00C1225C">
      <w:pPr>
        <w:pStyle w:val="15"/>
        <w:numPr>
          <w:ilvl w:val="0"/>
          <w:numId w:val="2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North America: Relaxed, chatty.</w:t>
      </w:r>
    </w:p>
    <w:p w14:paraId="0C4FDC39">
      <w:pPr>
        <w:pStyle w:val="15"/>
        <w:numPr>
          <w:ilvl w:val="0"/>
          <w:numId w:val="2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Europe: To the point-and-shoot is the norm.</w:t>
      </w:r>
    </w:p>
    <w:p w14:paraId="6EC01E0B">
      <w:pPr>
        <w:pStyle w:val="15"/>
        <w:numPr>
          <w:ilvl w:val="0"/>
          <w:numId w:val="2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Asia: Very humble, and they like to know every tiny detail.</w:t>
      </w:r>
    </w:p>
    <w:p w14:paraId="5B4D7F32">
      <w:pPr>
        <w:pStyle w:val="15"/>
        <w:numPr>
          <w:ilvl w:val="0"/>
          <w:numId w:val="2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Visual Assets:</w:t>
      </w:r>
    </w:p>
    <w:p w14:paraId="471598AD">
      <w:pPr>
        <w:pStyle w:val="15"/>
        <w:numPr>
          <w:ilvl w:val="0"/>
          <w:numId w:val="2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Main visual subject pictures depicting local architecture and the local</w:t>
      </w:r>
    </w:p>
    <w:p w14:paraId="228EF3D3">
      <w:pPr>
        <w:pStyle w:val="3"/>
        <w:rPr>
          <w:lang w:val="en-AU"/>
        </w:rPr>
      </w:pPr>
      <w:bookmarkStart w:id="25" w:name="_Toc199190196"/>
      <w:r>
        <w:rPr>
          <w:lang w:val="en-AU"/>
        </w:rPr>
        <w:t>8.3 A/B Testing &amp; Continuous Optimization</w:t>
      </w:r>
      <w:bookmarkEnd w:id="25"/>
    </w:p>
    <w:p w14:paraId="6AA2F128">
      <w:pPr>
        <w:rPr>
          <w:lang w:val="en-AU"/>
        </w:rPr>
      </w:pPr>
    </w:p>
    <w:p w14:paraId="612CAA5C">
      <w:pPr>
        <w:pStyle w:val="15"/>
        <w:numPr>
          <w:ilvl w:val="0"/>
          <w:numId w:val="2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Test Variants: Subject lines (e.g., "Welcome!" vs. "</w:t>
      </w:r>
      <w:r>
        <w:rPr>
          <w:rFonts w:ascii="Times New Roman" w:hAnsi="Times New Roman" w:eastAsia="MS Gothic" w:cs="Times New Roman"/>
          <w:sz w:val="24"/>
          <w:szCs w:val="24"/>
          <w:lang w:val="en-AU"/>
        </w:rPr>
        <w:t>你好</w:t>
      </w:r>
      <w:r>
        <w:rPr>
          <w:rFonts w:ascii="Times New Roman" w:hAnsi="Times New Roman" w:cs="Times New Roman"/>
          <w:sz w:val="24"/>
          <w:szCs w:val="24"/>
          <w:lang w:val="en-AU"/>
        </w:rPr>
        <w:t xml:space="preserve">, </w:t>
      </w:r>
      <w:r>
        <w:rPr>
          <w:rFonts w:ascii="Times New Roman" w:hAnsi="Times New Roman" w:eastAsia="Microsoft JhengHei" w:cs="Times New Roman"/>
          <w:sz w:val="24"/>
          <w:szCs w:val="24"/>
          <w:lang w:val="en-AU"/>
        </w:rPr>
        <w:t>欢迎</w:t>
      </w:r>
      <w:r>
        <w:rPr>
          <w:rFonts w:ascii="Times New Roman" w:hAnsi="Times New Roman" w:cs="Times New Roman"/>
          <w:sz w:val="24"/>
          <w:szCs w:val="24"/>
          <w:lang w:val="en-AU"/>
        </w:rPr>
        <w:t>!") and hero images.</w:t>
      </w:r>
    </w:p>
    <w:p w14:paraId="09907AEB">
      <w:pPr>
        <w:pStyle w:val="15"/>
        <w:numPr>
          <w:ilvl w:val="0"/>
          <w:numId w:val="2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Metrics to Track: Open rates, click-throughs, chatbot deflection, and booking conversions.</w:t>
      </w:r>
    </w:p>
    <w:p w14:paraId="06C847A4">
      <w:pPr>
        <w:pStyle w:val="15"/>
        <w:numPr>
          <w:ilvl w:val="0"/>
          <w:numId w:val="2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Feedback Loop: Quarterly reviews; design new scenarios, change voice lines and content by customer survey and analytics.</w:t>
      </w:r>
    </w:p>
    <w:p w14:paraId="4C710FE1">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104130" cy="2930525"/>
            <wp:effectExtent l="0" t="0" r="127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115739" cy="2937553"/>
                    </a:xfrm>
                    <a:prstGeom prst="rect">
                      <a:avLst/>
                    </a:prstGeom>
                    <a:noFill/>
                  </pic:spPr>
                </pic:pic>
              </a:graphicData>
            </a:graphic>
          </wp:inline>
        </w:drawing>
      </w:r>
    </w:p>
    <w:p w14:paraId="49F91130">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https://lokalise.com/blog/marketing-localization/</w:t>
      </w:r>
    </w:p>
    <w:p w14:paraId="7C1D9008">
      <w:pPr>
        <w:pStyle w:val="2"/>
        <w:rPr>
          <w:lang w:val="en-AU"/>
        </w:rPr>
      </w:pPr>
      <w:bookmarkStart w:id="26" w:name="_Toc199190197"/>
    </w:p>
    <w:p w14:paraId="73C1B3D0">
      <w:pPr>
        <w:pStyle w:val="2"/>
        <w:rPr>
          <w:lang w:val="en-AU"/>
        </w:rPr>
      </w:pPr>
    </w:p>
    <w:p w14:paraId="3B690D6A">
      <w:pPr>
        <w:pStyle w:val="2"/>
        <w:rPr>
          <w:lang w:val="en-AU"/>
        </w:rPr>
      </w:pPr>
    </w:p>
    <w:p w14:paraId="5E47A1DF">
      <w:pPr>
        <w:pStyle w:val="2"/>
        <w:rPr>
          <w:lang w:val="en-AU"/>
        </w:rPr>
      </w:pPr>
    </w:p>
    <w:p w14:paraId="386C1146">
      <w:pPr>
        <w:pStyle w:val="2"/>
        <w:rPr>
          <w:lang w:val="en-AU"/>
        </w:rPr>
      </w:pPr>
    </w:p>
    <w:bookmarkEnd w:id="26"/>
    <w:p w14:paraId="287B1883">
      <w:pPr>
        <w:pStyle w:val="2"/>
        <w:rPr>
          <w:rFonts w:hint="default"/>
          <w:lang w:val="de-DE"/>
        </w:rPr>
      </w:pPr>
    </w:p>
    <w:p w14:paraId="0988AB2E">
      <w:pPr>
        <w:rPr>
          <w:lang w:val="en-AU"/>
        </w:rPr>
      </w:pPr>
    </w:p>
    <w:p w14:paraId="3C706C54">
      <w:pPr>
        <w:pStyle w:val="2"/>
        <w:rPr>
          <w:rFonts w:hint="default"/>
          <w:lang w:val="de-DE"/>
        </w:rPr>
      </w:pPr>
      <w:r>
        <w:rPr>
          <w:lang w:val="en-AU"/>
        </w:rPr>
        <w:t>Conclusion &amp; Recommendatio</w:t>
      </w:r>
      <w:r>
        <w:rPr>
          <w:rFonts w:hint="default"/>
          <w:lang w:val="de-DE"/>
        </w:rPr>
        <w:t>ns</w:t>
      </w:r>
    </w:p>
    <w:p w14:paraId="41EE10E1">
      <w:pPr>
        <w:spacing w:line="360" w:lineRule="auto"/>
        <w:jc w:val="both"/>
        <w:rPr>
          <w:rFonts w:ascii="Times New Roman" w:hAnsi="Times New Roman" w:cs="Times New Roman"/>
          <w:sz w:val="24"/>
          <w:szCs w:val="24"/>
          <w:lang w:val="en-AU"/>
        </w:rPr>
      </w:pPr>
    </w:p>
    <w:p w14:paraId="1568110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It's not sufficient for the tourism hubs of the future to just offer a working environment with desks and Wi-Fi; they must create a digital experience that not only remains seamlessly connected to the culture of the place but also gives rise to a shared feeling of productivity and community. Apart from the above-mentioned communication channels, this is the perfect set of components that, when put together, represents a full-colour picture of how to draw in, hold, and serve digital nomads. This strategy on the communication journey through such channels as email, chatbots, web content, onboarding kits, etc., and the privacy and safety protocols it sets up is the best way representatives can address digital nomads' needs to the maximum.</w:t>
      </w:r>
    </w:p>
    <w:p w14:paraId="54626FFE">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Next Steps:</w:t>
      </w:r>
    </w:p>
    <w:p w14:paraId="5F6F486D">
      <w:pPr>
        <w:pStyle w:val="15"/>
        <w:numPr>
          <w:ilvl w:val="0"/>
          <w:numId w:val="2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Implementation Roadmap: According to the technical complexity and user impact, determine the priority of the projects (e.g., it will be a good idea to send the initial email campaigns at the same time when the landing page is launched).</w:t>
      </w:r>
    </w:p>
    <w:p w14:paraId="4B3A5FAE">
      <w:pPr>
        <w:pStyle w:val="15"/>
        <w:numPr>
          <w:ilvl w:val="0"/>
          <w:numId w:val="2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Technology Stack Selection: Examine CRM (e.g., HubSpot, Mailchimp), chatbot platform (e.g., Intercom, Drift), and CMS (e.g., WordPress, Webflow) integrations.</w:t>
      </w:r>
    </w:p>
    <w:p w14:paraId="19756723">
      <w:pPr>
        <w:pStyle w:val="15"/>
        <w:numPr>
          <w:ilvl w:val="0"/>
          <w:numId w:val="2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Pilot &amp; Iterate: Plug one hub, get feedback both qualitative and quantitative, revise the copy and flows, and then and only then expand to the global level.</w:t>
      </w:r>
    </w:p>
    <w:p w14:paraId="480263C9">
      <w:pPr>
        <w:pStyle w:val="15"/>
        <w:numPr>
          <w:ilvl w:val="0"/>
          <w:numId w:val="28"/>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Governance &amp; Maintenance: Entrust a main owner of the content calendar, assign the “local champions” to keep the regional resources up to date, and establish a schedule for multilingual audits.</w:t>
      </w:r>
    </w:p>
    <w:p w14:paraId="68F4DD7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rental of such a strategy as expressed here would set new and upcoming tourism places as primary targets for the increasing community of digital nomads around the world, creating not only the available working space but also the vibrant, culturally accommodating experiences that tirelessly feed long-term customer loyalty.</w:t>
      </w:r>
    </w:p>
    <w:p w14:paraId="0152E90B">
      <w:pPr>
        <w:spacing w:line="360" w:lineRule="auto"/>
        <w:jc w:val="both"/>
        <w:rPr>
          <w:rFonts w:ascii="Times New Roman" w:hAnsi="Times New Roman" w:cs="Times New Roman"/>
          <w:sz w:val="24"/>
          <w:szCs w:val="24"/>
          <w:lang w:val="en-AU"/>
        </w:rPr>
      </w:pPr>
    </w:p>
    <w:p w14:paraId="28EE0B05">
      <w:pPr>
        <w:spacing w:line="360" w:lineRule="auto"/>
        <w:jc w:val="both"/>
        <w:rPr>
          <w:rFonts w:ascii="Times New Roman" w:hAnsi="Times New Roman" w:cs="Times New Roman"/>
          <w:sz w:val="24"/>
          <w:szCs w:val="24"/>
          <w:lang w:val="en-AU"/>
        </w:rPr>
      </w:pPr>
    </w:p>
    <w:p w14:paraId="04ECEF18">
      <w:pPr>
        <w:spacing w:line="360" w:lineRule="auto"/>
        <w:jc w:val="both"/>
        <w:rPr>
          <w:rFonts w:ascii="Times New Roman" w:hAnsi="Times New Roman" w:cs="Times New Roman"/>
          <w:sz w:val="24"/>
          <w:szCs w:val="24"/>
          <w:lang w:val="en-AU"/>
        </w:rPr>
      </w:pPr>
    </w:p>
    <w:p w14:paraId="6732C116">
      <w:pPr>
        <w:spacing w:line="360" w:lineRule="auto"/>
        <w:jc w:val="both"/>
        <w:rPr>
          <w:rFonts w:ascii="Times New Roman" w:hAnsi="Times New Roman" w:cs="Times New Roman"/>
          <w:sz w:val="24"/>
          <w:szCs w:val="24"/>
          <w:lang w:val="en-AU"/>
        </w:rPr>
      </w:pPr>
      <w:bookmarkStart w:id="28" w:name="_GoBack"/>
      <w:bookmarkEnd w:id="28"/>
    </w:p>
    <w:p w14:paraId="73F80D71">
      <w:pPr>
        <w:pStyle w:val="2"/>
        <w:rPr>
          <w:lang w:val="en-AU"/>
        </w:rPr>
      </w:pPr>
      <w:bookmarkStart w:id="27" w:name="_Toc199190198"/>
      <w:r>
        <w:rPr>
          <w:lang w:val="en-AU"/>
        </w:rPr>
        <w:t>10.  References:</w:t>
      </w:r>
      <w:bookmarkEnd w:id="27"/>
    </w:p>
    <w:p w14:paraId="1BF572B7">
      <w:pPr>
        <w:rPr>
          <w:lang w:val="en-AU"/>
        </w:rPr>
      </w:pPr>
    </w:p>
    <w:p w14:paraId="5988A1E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Global Workplace Analytics. (n.d.). Latest work-at-home/telecommuting/remote work statistics. Retrieved May 26, 2025, from https://globalworkplaceanalytics.com/telecommuting-statistics</w:t>
      </w:r>
    </w:p>
    <w:p w14:paraId="57907EF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World Economic Forum. (2024, October). How digital nomads can transform tourism and the economy of Small Island Developing States. Retrieved May 26, 2025, from https://www.weforum.org/stories/2024/10/how-digital-nomads-can-transform-tourism-and-the-economy-of-small-island-developing-states/</w:t>
      </w:r>
    </w:p>
    <w:p w14:paraId="3C9BE62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Intercom. (n.d.). Use Fin AI Agent in multiple languages. Retrieved May 26, 2025, from https://www.intercom.com/help/en/articles/8322387-use-fin-ai-agent-in-multiple-languages</w:t>
      </w:r>
    </w:p>
    <w:p w14:paraId="045BF1A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Mailchimp. (n.d.). Email marketing benchmarks and metrics businesses should track. Retrieved May 26, 2025, from https://mailchimp.com/resources/email-marketing-benchmarks/</w:t>
      </w:r>
    </w:p>
    <w:p w14:paraId="323771C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Nomads.com. (n.d.). Best places to live for digital nomads. Retrieved May 26, 2025, from https://nomads.com/</w:t>
      </w:r>
    </w:p>
    <w:p w14:paraId="16101C7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HubSpot Community. (n.d.). Email automation and deliverability best practices. Retrieved May 26, 2025, from https://community.hubspot.com/t5/Tips-Tricks-Best-Practices/Email-Automation-and-Deliverability-Best-Practices/m-p/675998</w:t>
      </w:r>
    </w:p>
    <w:p w14:paraId="3BB2C2F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Slack. (n.d.). Slack is the place for remote work. Retrieved May 26, 2025, from https://slack.com/solutions/remote-work</w:t>
      </w:r>
    </w:p>
    <w:p w14:paraId="77DC392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Cybersecurity &amp; Infrastructure Security Agency. (n.d.). Cybersecurity best practices. Retrieved May 26, 2025, from https://www.cisa.gov/topics/cybersecurity-best-practices</w:t>
      </w:r>
    </w:p>
    <w:p w14:paraId="68EC7DFF">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Dropbox. (n.d.). Secure cloud storage for all your files. Retrieved May 26, 2025, from https://www.dropbox.com/features/cloud-storage</w:t>
      </w:r>
    </w:p>
    <w:p w14:paraId="50E00E0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United Nations World Tourism Organization. (n.d.). Digital transformation. Retrieved May 26, 2025, from https://www.unwto.org/digital-transformation</w:t>
      </w:r>
    </w:p>
    <w:p w14:paraId="3E8679C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Grunig, J. E., &amp; Grunig, L. A. (2000). Public relations in strategic management and strategic management of public relations: Theory and evidence from the IABC Excellence Project. Journal of Public Relations Research, 12(1), 1–28. https://doi.org/10.1207/S1532754XJPRR1201_1</w:t>
      </w:r>
    </w:p>
    <w:p w14:paraId="47FACEB0">
      <w:pPr>
        <w:spacing w:line="360" w:lineRule="auto"/>
        <w:jc w:val="both"/>
        <w:rPr>
          <w:rFonts w:ascii="Times New Roman" w:hAnsi="Times New Roman" w:cs="Times New Roman"/>
          <w:sz w:val="24"/>
          <w:szCs w:val="24"/>
          <w:lang w:val="en-AU"/>
        </w:rPr>
      </w:pPr>
    </w:p>
    <w:p w14:paraId="5CDE30F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World Economic Forum. (2024, January). Remote digital jobs are expected to rise 25% to 92 million by 2030. Retrieved May 26, 2025, from https://www.weforum.org/stories/2024/01/remote-global-digital-jobs-whitepaper/</w:t>
      </w: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MS Gothic">
    <w:altName w:val="Hiragino Sans"/>
    <w:panose1 w:val="020B0609070205080204"/>
    <w:charset w:val="80"/>
    <w:family w:val="modern"/>
    <w:pitch w:val="default"/>
    <w:sig w:usb0="00000000" w:usb1="00000000" w:usb2="08000012" w:usb3="00000000" w:csb0="0002009F" w:csb1="00000000"/>
  </w:font>
  <w:font w:name="Microsoft JhengHei">
    <w:altName w:val="汉仪中简黑简"/>
    <w:panose1 w:val="020B0604030504040204"/>
    <w:charset w:val="88"/>
    <w:family w:val="swiss"/>
    <w:pitch w:val="default"/>
    <w:sig w:usb0="00000000" w:usb1="00000000" w:usb2="00000016" w:usb3="00000000" w:csb0="00100009"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Hiragino Sans">
    <w:panose1 w:val="020B0300000000000000"/>
    <w:charset w:val="80"/>
    <w:family w:val="auto"/>
    <w:pitch w:val="default"/>
    <w:sig w:usb0="E00002FF" w:usb1="7AE7FFFF" w:usb2="00000012" w:usb3="00000000" w:csb0="0002000D" w:csb1="00000000"/>
  </w:font>
  <w:font w:name="汉仪中简黑简">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57104725"/>
      <w:docPartObj>
        <w:docPartGallery w:val="autotext"/>
      </w:docPartObj>
    </w:sdtPr>
    <w:sdtEndPr>
      <w:rPr>
        <w:color w:val="808080" w:themeColor="background1" w:themeShade="80"/>
        <w:spacing w:val="60"/>
      </w:rPr>
    </w:sdtEndPr>
    <w:sdtContent>
      <w:p w14:paraId="2EB35911">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48C5677B">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numPicBullet w:numPicBulletId="2">
    <w:pict>
      <v:shape id="2" type="#_x0000_t75" style="width:15px;height:15px" o:bullet="t">
        <v:imagedata r:id="rId3" o:title=""/>
      </v:shape>
    </w:pict>
  </w:numPicBullet>
  <w:numPicBullet w:numPicBulletId="3">
    <w:pict>
      <v:shape id="3" type="#_x0000_t75" style="width:15px;height:15px" o:bullet="t">
        <v:imagedata r:id="rId4" o:title=""/>
      </v:shape>
    </w:pict>
  </w:numPicBullet>
  <w:numPicBullet w:numPicBulletId="4">
    <w:pict>
      <v:shape id="4" type="#_x0000_t75" style="width:15px;height:15px" o:bullet="t">
        <v:imagedata r:id="rId5" o:title=""/>
      </v:shape>
    </w:pict>
  </w:numPicBullet>
  <w:abstractNum w:abstractNumId="0">
    <w:nsid w:val="03952A08"/>
    <w:multiLevelType w:val="multilevel"/>
    <w:tmpl w:val="03952A0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4487C49"/>
    <w:multiLevelType w:val="multilevel"/>
    <w:tmpl w:val="04487C4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A7D01F8"/>
    <w:multiLevelType w:val="multilevel"/>
    <w:tmpl w:val="0A7D01F8"/>
    <w:lvl w:ilvl="0" w:tentative="0">
      <w:start w:val="1"/>
      <w:numFmt w:val="bullet"/>
      <w:lvlText w:val=""/>
      <w:lvlPicBulletId w:val="4"/>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C066CBF"/>
    <w:multiLevelType w:val="multilevel"/>
    <w:tmpl w:val="0C066CBF"/>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4">
    <w:nsid w:val="1418179C"/>
    <w:multiLevelType w:val="multilevel"/>
    <w:tmpl w:val="1418179C"/>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5">
    <w:nsid w:val="14B478AE"/>
    <w:multiLevelType w:val="multilevel"/>
    <w:tmpl w:val="14B478A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8B63128"/>
    <w:multiLevelType w:val="multilevel"/>
    <w:tmpl w:val="18B6312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2436711"/>
    <w:multiLevelType w:val="multilevel"/>
    <w:tmpl w:val="32436711"/>
    <w:lvl w:ilvl="0" w:tentative="0">
      <w:start w:val="1"/>
      <w:numFmt w:val="bullet"/>
      <w:lvlText w:val=""/>
      <w:lvlPicBulletId w:val="1"/>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9E24ABE"/>
    <w:multiLevelType w:val="multilevel"/>
    <w:tmpl w:val="39E24AB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A76769E"/>
    <w:multiLevelType w:val="multilevel"/>
    <w:tmpl w:val="3A76769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409B378D"/>
    <w:multiLevelType w:val="multilevel"/>
    <w:tmpl w:val="409B378D"/>
    <w:lvl w:ilvl="0" w:tentative="0">
      <w:start w:val="1"/>
      <w:numFmt w:val="bullet"/>
      <w:lvlText w:val=""/>
      <w:lvlPicBulletId w:val="0"/>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44EF599B"/>
    <w:multiLevelType w:val="multilevel"/>
    <w:tmpl w:val="44EF599B"/>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2">
    <w:nsid w:val="454E76C4"/>
    <w:multiLevelType w:val="multilevel"/>
    <w:tmpl w:val="454E76C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4B217395"/>
    <w:multiLevelType w:val="multilevel"/>
    <w:tmpl w:val="4B217395"/>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4">
    <w:nsid w:val="4EEC777B"/>
    <w:multiLevelType w:val="multilevel"/>
    <w:tmpl w:val="4EEC777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57E237A0"/>
    <w:multiLevelType w:val="multilevel"/>
    <w:tmpl w:val="57E237A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584512FA"/>
    <w:multiLevelType w:val="multilevel"/>
    <w:tmpl w:val="584512F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5AAC3E4F"/>
    <w:multiLevelType w:val="multilevel"/>
    <w:tmpl w:val="5AAC3E4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AB653D9"/>
    <w:multiLevelType w:val="multilevel"/>
    <w:tmpl w:val="5AB653D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5BD8462F"/>
    <w:multiLevelType w:val="multilevel"/>
    <w:tmpl w:val="5BD8462F"/>
    <w:lvl w:ilvl="0" w:tentative="0">
      <w:start w:val="1"/>
      <w:numFmt w:val="bullet"/>
      <w:lvlText w:val=""/>
      <w:lvlPicBulletId w:val="3"/>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67822F16"/>
    <w:multiLevelType w:val="multilevel"/>
    <w:tmpl w:val="67822F1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680843A0"/>
    <w:multiLevelType w:val="multilevel"/>
    <w:tmpl w:val="680843A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68403B8B"/>
    <w:multiLevelType w:val="multilevel"/>
    <w:tmpl w:val="68403B8B"/>
    <w:lvl w:ilvl="0" w:tentative="0">
      <w:start w:val="1"/>
      <w:numFmt w:val="bullet"/>
      <w:lvlText w:val=""/>
      <w:lvlJc w:val="left"/>
      <w:pPr>
        <w:ind w:left="720" w:hanging="360"/>
      </w:pPr>
      <w:rPr>
        <w:rFonts w:hint="default" w:ascii="Symbol"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8A06ED0"/>
    <w:multiLevelType w:val="multilevel"/>
    <w:tmpl w:val="78A06ED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798E7F4A"/>
    <w:multiLevelType w:val="multilevel"/>
    <w:tmpl w:val="798E7F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5">
    <w:nsid w:val="7A20607E"/>
    <w:multiLevelType w:val="multilevel"/>
    <w:tmpl w:val="7A20607E"/>
    <w:lvl w:ilvl="0" w:tentative="0">
      <w:start w:val="1"/>
      <w:numFmt w:val="bullet"/>
      <w:lvlText w:val=""/>
      <w:lvlPicBulletId w:val="2"/>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7A2821BD"/>
    <w:multiLevelType w:val="multilevel"/>
    <w:tmpl w:val="7A2821B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7AE45A25"/>
    <w:multiLevelType w:val="multilevel"/>
    <w:tmpl w:val="7AE45A2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22"/>
  </w:num>
  <w:num w:numId="3">
    <w:abstractNumId w:val="4"/>
  </w:num>
  <w:num w:numId="4">
    <w:abstractNumId w:val="13"/>
  </w:num>
  <w:num w:numId="5">
    <w:abstractNumId w:val="11"/>
  </w:num>
  <w:num w:numId="6">
    <w:abstractNumId w:val="3"/>
  </w:num>
  <w:num w:numId="7">
    <w:abstractNumId w:val="18"/>
  </w:num>
  <w:num w:numId="8">
    <w:abstractNumId w:val="24"/>
  </w:num>
  <w:num w:numId="9">
    <w:abstractNumId w:val="16"/>
  </w:num>
  <w:num w:numId="10">
    <w:abstractNumId w:val="6"/>
  </w:num>
  <w:num w:numId="11">
    <w:abstractNumId w:val="12"/>
  </w:num>
  <w:num w:numId="12">
    <w:abstractNumId w:val="10"/>
  </w:num>
  <w:num w:numId="13">
    <w:abstractNumId w:val="9"/>
  </w:num>
  <w:num w:numId="14">
    <w:abstractNumId w:val="21"/>
  </w:num>
  <w:num w:numId="15">
    <w:abstractNumId w:val="14"/>
  </w:num>
  <w:num w:numId="16">
    <w:abstractNumId w:val="15"/>
  </w:num>
  <w:num w:numId="17">
    <w:abstractNumId w:val="0"/>
  </w:num>
  <w:num w:numId="18">
    <w:abstractNumId w:val="27"/>
  </w:num>
  <w:num w:numId="19">
    <w:abstractNumId w:val="23"/>
  </w:num>
  <w:num w:numId="20">
    <w:abstractNumId w:val="17"/>
  </w:num>
  <w:num w:numId="21">
    <w:abstractNumId w:val="1"/>
  </w:num>
  <w:num w:numId="22">
    <w:abstractNumId w:val="26"/>
  </w:num>
  <w:num w:numId="23">
    <w:abstractNumId w:val="7"/>
  </w:num>
  <w:num w:numId="24">
    <w:abstractNumId w:val="25"/>
  </w:num>
  <w:num w:numId="25">
    <w:abstractNumId w:val="19"/>
  </w:num>
  <w:num w:numId="26">
    <w:abstractNumId w:val="2"/>
  </w:num>
  <w:num w:numId="27">
    <w:abstractNumId w:val="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42B"/>
    <w:rsid w:val="002D5400"/>
    <w:rsid w:val="002E1DFF"/>
    <w:rsid w:val="003D4DD6"/>
    <w:rsid w:val="00564856"/>
    <w:rsid w:val="0064142B"/>
    <w:rsid w:val="00874F13"/>
    <w:rsid w:val="00921B93"/>
    <w:rsid w:val="009D3981"/>
    <w:rsid w:val="00C41466"/>
    <w:rsid w:val="00DC5A38"/>
    <w:rsid w:val="00E44906"/>
    <w:rsid w:val="F4BF5FAB"/>
    <w:rsid w:val="F7BB235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imes New Roman" w:hAnsi="Times New Roman" w:eastAsiaTheme="majorEastAsia" w:cstheme="majorBidi"/>
      <w:b/>
      <w:sz w:val="28"/>
      <w:szCs w:val="32"/>
    </w:rPr>
  </w:style>
  <w:style w:type="paragraph" w:styleId="3">
    <w:name w:val="heading 2"/>
    <w:basedOn w:val="1"/>
    <w:next w:val="1"/>
    <w:link w:val="16"/>
    <w:unhideWhenUsed/>
    <w:qFormat/>
    <w:uiPriority w:val="9"/>
    <w:pPr>
      <w:keepNext/>
      <w:keepLines/>
      <w:spacing w:before="40" w:after="0"/>
      <w:outlineLvl w:val="1"/>
    </w:pPr>
    <w:rPr>
      <w:rFonts w:ascii="Times New Roman" w:hAnsi="Times New Roman" w:eastAsiaTheme="majorEastAsia" w:cstheme="majorBidi"/>
      <w:b/>
      <w:i/>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3"/>
    <w:unhideWhenUsed/>
    <w:uiPriority w:val="99"/>
    <w:pPr>
      <w:tabs>
        <w:tab w:val="center" w:pos="4513"/>
        <w:tab w:val="right" w:pos="9026"/>
      </w:tabs>
      <w:spacing w:after="0" w:line="240" w:lineRule="auto"/>
    </w:pPr>
  </w:style>
  <w:style w:type="paragraph" w:styleId="7">
    <w:name w:val="header"/>
    <w:basedOn w:val="1"/>
    <w:link w:val="12"/>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er Char"/>
    <w:basedOn w:val="4"/>
    <w:link w:val="7"/>
    <w:uiPriority w:val="99"/>
    <w:rPr>
      <w:lang w:val="en-US"/>
    </w:rPr>
  </w:style>
  <w:style w:type="character" w:customStyle="1" w:styleId="13">
    <w:name w:val="Footer Char"/>
    <w:basedOn w:val="4"/>
    <w:link w:val="6"/>
    <w:uiPriority w:val="99"/>
    <w:rPr>
      <w:lang w:val="en-US"/>
    </w:rPr>
  </w:style>
  <w:style w:type="character" w:customStyle="1" w:styleId="14">
    <w:name w:val="Heading 1 Char"/>
    <w:basedOn w:val="4"/>
    <w:link w:val="2"/>
    <w:uiPriority w:val="9"/>
    <w:rPr>
      <w:rFonts w:ascii="Times New Roman" w:hAnsi="Times New Roman" w:eastAsiaTheme="majorEastAsia" w:cstheme="majorBidi"/>
      <w:b/>
      <w:sz w:val="28"/>
      <w:szCs w:val="32"/>
      <w:lang w:val="en-US"/>
    </w:rPr>
  </w:style>
  <w:style w:type="paragraph" w:styleId="15">
    <w:name w:val="List Paragraph"/>
    <w:basedOn w:val="1"/>
    <w:qFormat/>
    <w:uiPriority w:val="34"/>
    <w:pPr>
      <w:ind w:left="720"/>
      <w:contextualSpacing/>
    </w:pPr>
  </w:style>
  <w:style w:type="character" w:customStyle="1" w:styleId="16">
    <w:name w:val="Heading 2 Char"/>
    <w:basedOn w:val="4"/>
    <w:link w:val="3"/>
    <w:uiPriority w:val="9"/>
    <w:rPr>
      <w:rFonts w:ascii="Times New Roman" w:hAnsi="Times New Roman" w:eastAsiaTheme="majorEastAsia" w:cstheme="majorBidi"/>
      <w:b/>
      <w:i/>
      <w:sz w:val="26"/>
      <w:szCs w:val="26"/>
      <w:lang w:val="en-US"/>
    </w:rPr>
  </w:style>
  <w:style w:type="paragraph" w:customStyle="1" w:styleId="17">
    <w:name w:val="TOC Heading"/>
    <w:basedOn w:val="2"/>
    <w:next w:val="1"/>
    <w:unhideWhenUsed/>
    <w:qFormat/>
    <w:uiPriority w:val="39"/>
    <w:pPr>
      <w:outlineLvl w:val="9"/>
    </w:pPr>
    <w:rPr>
      <w:rFonts w:asciiTheme="majorHAnsi" w:hAnsiTheme="majorHAnsi"/>
      <w:b w:val="0"/>
      <w:color w:val="2F5597" w:themeColor="accent1" w:themeShade="BF"/>
      <w:sz w:val="32"/>
    </w:rPr>
  </w:style>
  <w:style w:type="character" w:customStyle="1" w:styleId="18">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5" Type="http://schemas.openxmlformats.org/officeDocument/2006/relationships/image" Target="media/image17.png"/><Relationship Id="rId4" Type="http://schemas.openxmlformats.org/officeDocument/2006/relationships/image" Target="media/image16.png"/><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Props1.xml><?xml version="1.0" encoding="utf-8"?>
<ds:datastoreItem xmlns:ds="http://schemas.openxmlformats.org/officeDocument/2006/customXml" ds:itemID="{5791E088-F820-4109-8B13-31C8E1FA6FB8}">
  <ds:schemaRefs/>
</ds:datastoreItem>
</file>

<file path=docProps/app.xml><?xml version="1.0" encoding="utf-8"?>
<Properties xmlns="http://schemas.openxmlformats.org/officeDocument/2006/extended-properties" xmlns:vt="http://schemas.openxmlformats.org/officeDocument/2006/docPropsVTypes">
  <Template>Normal.dotm</Template>
  <Pages>20</Pages>
  <Words>3108</Words>
  <Characters>17718</Characters>
  <Lines>147</Lines>
  <Paragraphs>41</Paragraphs>
  <TotalTime>9</TotalTime>
  <ScaleCrop>false</ScaleCrop>
  <LinksUpToDate>false</LinksUpToDate>
  <CharactersWithSpaces>20785</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2025-05-26T18:46:00Z</dcterms:created>
  <dc:creator>Surajit Das</dc:creator>
  <cp:lastModifiedBy>KumarAjay</cp:lastModifiedBy>
  <dcterms:modified xsi:type="dcterms:W3CDTF">2025-05-28T15:38:08Z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80BDC6D5A2EA4B5AC01137685F701355_43</vt:lpwstr>
  </property>
</Properties>
</file>