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86B57" w:rsidRPr="00021315" w:rsidRDefault="00186B57">
      <w:pPr>
        <w:rPr>
          <w:rFonts w:ascii="Times New Roman" w:hAnsi="Times New Roman" w:cs="Times New Roman"/>
          <w:lang w:val="de-DE"/>
        </w:rPr>
      </w:pPr>
    </w:p>
    <w:p w:rsidR="00186B57" w:rsidRPr="00186B57" w:rsidRDefault="00186B57" w:rsidP="00186B57">
      <w:pPr>
        <w:rPr>
          <w:rFonts w:ascii="Times New Roman" w:hAnsi="Times New Roman" w:cs="Times New Roman"/>
          <w:b/>
          <w:bCs/>
          <w:sz w:val="36"/>
          <w:szCs w:val="36"/>
        </w:rPr>
      </w:pPr>
      <w:r w:rsidRPr="00021315">
        <w:rPr>
          <w:rFonts w:ascii="Times New Roman" w:hAnsi="Times New Roman" w:cs="Times New Roman"/>
          <w:b/>
          <w:bCs/>
          <w:sz w:val="36"/>
          <w:szCs w:val="36"/>
        </w:rPr>
        <w:t xml:space="preserve">Topic: </w:t>
      </w:r>
      <w:r w:rsidRPr="00021315">
        <w:rPr>
          <w:rFonts w:ascii="Times New Roman" w:hAnsi="Times New Roman" w:cs="Times New Roman"/>
          <w:b/>
          <w:bCs/>
          <w:sz w:val="36"/>
          <w:szCs w:val="36"/>
        </w:rPr>
        <w:t>Legal Design and Compliance for a Sustainable Wellness Eco-Tourism Venture</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b/>
          <w:bCs/>
          <w:color w:val="000000"/>
          <w:kern w:val="0"/>
          <w14:ligatures w14:val="none"/>
        </w:rPr>
      </w:pPr>
      <w:r w:rsidRPr="00186B57">
        <w:rPr>
          <w:rFonts w:ascii="Times New Roman" w:eastAsia="Times New Roman" w:hAnsi="Times New Roman" w:cs="Times New Roman"/>
          <w:b/>
          <w:bCs/>
          <w:color w:val="000000"/>
          <w:kern w:val="0"/>
          <w14:ligatures w14:val="none"/>
        </w:rPr>
        <w:t>Student Name</w:t>
      </w:r>
      <w:r w:rsidR="00021315" w:rsidRPr="00021315">
        <w:rPr>
          <w:rFonts w:ascii="Times New Roman" w:eastAsia="Times New Roman" w:hAnsi="Times New Roman" w:cs="Times New Roman"/>
          <w:b/>
          <w:bCs/>
          <w:color w:val="000000"/>
          <w:kern w:val="0"/>
          <w14:ligatures w14:val="none"/>
        </w:rPr>
        <w:t xml:space="preserve">: </w:t>
      </w:r>
      <w:proofErr w:type="spellStart"/>
      <w:r w:rsidR="00021315" w:rsidRPr="00021315">
        <w:rPr>
          <w:rFonts w:ascii="Times New Roman" w:eastAsia="Times New Roman" w:hAnsi="Times New Roman" w:cs="Times New Roman"/>
          <w:b/>
          <w:bCs/>
          <w:color w:val="000000"/>
          <w:kern w:val="0"/>
          <w14:ligatures w14:val="none"/>
        </w:rPr>
        <w:t>Gursewak</w:t>
      </w:r>
      <w:proofErr w:type="spellEnd"/>
      <w:r w:rsidR="00021315" w:rsidRPr="00021315">
        <w:rPr>
          <w:rFonts w:ascii="Times New Roman" w:eastAsia="Times New Roman" w:hAnsi="Times New Roman" w:cs="Times New Roman"/>
          <w:b/>
          <w:bCs/>
          <w:color w:val="000000"/>
          <w:kern w:val="0"/>
          <w14:ligatures w14:val="none"/>
        </w:rPr>
        <w:t xml:space="preserve"> Singh</w:t>
      </w:r>
      <w:r w:rsidRPr="00186B57">
        <w:rPr>
          <w:rFonts w:ascii="Times New Roman" w:eastAsia="Times New Roman" w:hAnsi="Times New Roman" w:cs="Times New Roman"/>
          <w:b/>
          <w:bCs/>
          <w:color w:val="000000"/>
          <w:kern w:val="0"/>
          <w14:ligatures w14:val="none"/>
        </w:rPr>
        <w:br/>
        <w:t>Student ID</w:t>
      </w:r>
      <w:r w:rsidR="00021315" w:rsidRPr="00021315">
        <w:rPr>
          <w:rFonts w:ascii="Times New Roman" w:eastAsia="Times New Roman" w:hAnsi="Times New Roman" w:cs="Times New Roman"/>
          <w:b/>
          <w:bCs/>
          <w:color w:val="000000"/>
          <w:kern w:val="0"/>
          <w14:ligatures w14:val="none"/>
        </w:rPr>
        <w:t>:</w:t>
      </w:r>
      <w:r w:rsidR="00021315">
        <w:rPr>
          <w:rFonts w:ascii="Times New Roman" w:eastAsia="Times New Roman" w:hAnsi="Times New Roman" w:cs="Times New Roman"/>
          <w:b/>
          <w:bCs/>
          <w:color w:val="000000"/>
          <w:kern w:val="0"/>
          <w14:ligatures w14:val="none"/>
        </w:rPr>
        <w:t xml:space="preserve"> </w:t>
      </w:r>
      <w:r w:rsidR="00021315" w:rsidRPr="00021315">
        <w:rPr>
          <w:rFonts w:ascii="Times New Roman" w:eastAsia="Times New Roman" w:hAnsi="Times New Roman" w:cs="Times New Roman"/>
          <w:b/>
          <w:bCs/>
          <w:color w:val="000000"/>
          <w:kern w:val="0"/>
          <w14:ligatures w14:val="none"/>
        </w:rPr>
        <w:t>DE240017</w:t>
      </w: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sdt>
      <w:sdtPr>
        <w:id w:val="1948127095"/>
        <w:docPartObj>
          <w:docPartGallery w:val="Table of Contents"/>
          <w:docPartUnique/>
        </w:docPartObj>
      </w:sdtPr>
      <w:sdtEndPr>
        <w:rPr>
          <w:rFonts w:asciiTheme="minorHAnsi" w:eastAsiaTheme="minorHAnsi" w:hAnsiTheme="minorHAnsi" w:cstheme="minorBidi"/>
          <w:noProof/>
          <w:color w:val="auto"/>
          <w:kern w:val="2"/>
          <w:sz w:val="24"/>
          <w:szCs w:val="24"/>
          <w14:ligatures w14:val="standardContextual"/>
        </w:rPr>
      </w:sdtEndPr>
      <w:sdtContent>
        <w:p w:rsidR="00021315" w:rsidRPr="00021315" w:rsidRDefault="00021315">
          <w:pPr>
            <w:pStyle w:val="TOCHeading"/>
            <w:rPr>
              <w:rFonts w:ascii="Times New Roman" w:hAnsi="Times New Roman" w:cs="Times New Roman"/>
            </w:rPr>
          </w:pPr>
          <w:r w:rsidRPr="00021315">
            <w:rPr>
              <w:rFonts w:ascii="Times New Roman" w:hAnsi="Times New Roman" w:cs="Times New Roman"/>
            </w:rPr>
            <w:t>Table of Contents</w:t>
          </w:r>
        </w:p>
        <w:p w:rsidR="00021315" w:rsidRDefault="00021315">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94503859" w:history="1">
            <w:r w:rsidRPr="00201FD2">
              <w:rPr>
                <w:rStyle w:val="Hyperlink"/>
                <w:rFonts w:ascii="Times New Roman" w:eastAsia="Times New Roman" w:hAnsi="Times New Roman" w:cs="Times New Roman"/>
                <w:noProof/>
              </w:rPr>
              <w:t>1. Introduction</w:t>
            </w:r>
            <w:r>
              <w:rPr>
                <w:noProof/>
                <w:webHidden/>
              </w:rPr>
              <w:tab/>
            </w:r>
            <w:r>
              <w:rPr>
                <w:noProof/>
                <w:webHidden/>
              </w:rPr>
              <w:fldChar w:fldCharType="begin"/>
            </w:r>
            <w:r>
              <w:rPr>
                <w:noProof/>
                <w:webHidden/>
              </w:rPr>
              <w:instrText xml:space="preserve"> PAGEREF _Toc194503859 \h </w:instrText>
            </w:r>
            <w:r>
              <w:rPr>
                <w:noProof/>
                <w:webHidden/>
              </w:rPr>
            </w:r>
            <w:r>
              <w:rPr>
                <w:noProof/>
                <w:webHidden/>
              </w:rPr>
              <w:fldChar w:fldCharType="separate"/>
            </w:r>
            <w:r>
              <w:rPr>
                <w:noProof/>
                <w:webHidden/>
              </w:rPr>
              <w:t>3</w:t>
            </w:r>
            <w:r>
              <w:rPr>
                <w:noProof/>
                <w:webHidden/>
              </w:rPr>
              <w:fldChar w:fldCharType="end"/>
            </w:r>
          </w:hyperlink>
        </w:p>
        <w:p w:rsidR="00021315" w:rsidRDefault="00021315">
          <w:pPr>
            <w:pStyle w:val="TOC1"/>
            <w:tabs>
              <w:tab w:val="right" w:leader="dot" w:pos="9350"/>
            </w:tabs>
            <w:rPr>
              <w:rFonts w:eastAsiaTheme="minorEastAsia" w:cstheme="minorBidi"/>
              <w:b w:val="0"/>
              <w:bCs w:val="0"/>
              <w:i w:val="0"/>
              <w:iCs w:val="0"/>
              <w:noProof/>
            </w:rPr>
          </w:pPr>
          <w:hyperlink w:anchor="_Toc194503860" w:history="1">
            <w:r w:rsidRPr="00201FD2">
              <w:rPr>
                <w:rStyle w:val="Hyperlink"/>
                <w:rFonts w:ascii="Times New Roman" w:eastAsia="Times New Roman" w:hAnsi="Times New Roman" w:cs="Times New Roman"/>
                <w:noProof/>
              </w:rPr>
              <w:t>2. Environmental Mission and Sustainable Wellness Tourism</w:t>
            </w:r>
            <w:r>
              <w:rPr>
                <w:noProof/>
                <w:webHidden/>
              </w:rPr>
              <w:tab/>
            </w:r>
            <w:r>
              <w:rPr>
                <w:noProof/>
                <w:webHidden/>
              </w:rPr>
              <w:fldChar w:fldCharType="begin"/>
            </w:r>
            <w:r>
              <w:rPr>
                <w:noProof/>
                <w:webHidden/>
              </w:rPr>
              <w:instrText xml:space="preserve"> PAGEREF _Toc194503860 \h </w:instrText>
            </w:r>
            <w:r>
              <w:rPr>
                <w:noProof/>
                <w:webHidden/>
              </w:rPr>
            </w:r>
            <w:r>
              <w:rPr>
                <w:noProof/>
                <w:webHidden/>
              </w:rPr>
              <w:fldChar w:fldCharType="separate"/>
            </w:r>
            <w:r>
              <w:rPr>
                <w:noProof/>
                <w:webHidden/>
              </w:rPr>
              <w:t>4</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61" w:history="1">
            <w:r w:rsidRPr="00201FD2">
              <w:rPr>
                <w:rStyle w:val="Hyperlink"/>
                <w:rFonts w:ascii="Times New Roman" w:eastAsia="Times New Roman" w:hAnsi="Times New Roman" w:cs="Times New Roman"/>
                <w:noProof/>
              </w:rPr>
              <w:t>Conceptual Framework</w:t>
            </w:r>
            <w:r>
              <w:rPr>
                <w:noProof/>
                <w:webHidden/>
              </w:rPr>
              <w:tab/>
            </w:r>
            <w:r>
              <w:rPr>
                <w:noProof/>
                <w:webHidden/>
              </w:rPr>
              <w:fldChar w:fldCharType="begin"/>
            </w:r>
            <w:r>
              <w:rPr>
                <w:noProof/>
                <w:webHidden/>
              </w:rPr>
              <w:instrText xml:space="preserve"> PAGEREF _Toc194503861 \h </w:instrText>
            </w:r>
            <w:r>
              <w:rPr>
                <w:noProof/>
                <w:webHidden/>
              </w:rPr>
            </w:r>
            <w:r>
              <w:rPr>
                <w:noProof/>
                <w:webHidden/>
              </w:rPr>
              <w:fldChar w:fldCharType="separate"/>
            </w:r>
            <w:r>
              <w:rPr>
                <w:noProof/>
                <w:webHidden/>
              </w:rPr>
              <w:t>4</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62" w:history="1">
            <w:r w:rsidRPr="00201FD2">
              <w:rPr>
                <w:rStyle w:val="Hyperlink"/>
                <w:rFonts w:ascii="Times New Roman" w:eastAsia="Times New Roman" w:hAnsi="Times New Roman" w:cs="Times New Roman"/>
                <w:noProof/>
              </w:rPr>
              <w:t>Legal Foundations for Environmental Missions</w:t>
            </w:r>
            <w:r>
              <w:rPr>
                <w:noProof/>
                <w:webHidden/>
              </w:rPr>
              <w:tab/>
            </w:r>
            <w:r>
              <w:rPr>
                <w:noProof/>
                <w:webHidden/>
              </w:rPr>
              <w:fldChar w:fldCharType="begin"/>
            </w:r>
            <w:r>
              <w:rPr>
                <w:noProof/>
                <w:webHidden/>
              </w:rPr>
              <w:instrText xml:space="preserve"> PAGEREF _Toc194503862 \h </w:instrText>
            </w:r>
            <w:r>
              <w:rPr>
                <w:noProof/>
                <w:webHidden/>
              </w:rPr>
            </w:r>
            <w:r>
              <w:rPr>
                <w:noProof/>
                <w:webHidden/>
              </w:rPr>
              <w:fldChar w:fldCharType="separate"/>
            </w:r>
            <w:r>
              <w:rPr>
                <w:noProof/>
                <w:webHidden/>
              </w:rPr>
              <w:t>5</w:t>
            </w:r>
            <w:r>
              <w:rPr>
                <w:noProof/>
                <w:webHidden/>
              </w:rPr>
              <w:fldChar w:fldCharType="end"/>
            </w:r>
          </w:hyperlink>
        </w:p>
        <w:p w:rsidR="00021315" w:rsidRDefault="00021315">
          <w:pPr>
            <w:pStyle w:val="TOC1"/>
            <w:tabs>
              <w:tab w:val="right" w:leader="dot" w:pos="9350"/>
            </w:tabs>
            <w:rPr>
              <w:rFonts w:eastAsiaTheme="minorEastAsia" w:cstheme="minorBidi"/>
              <w:b w:val="0"/>
              <w:bCs w:val="0"/>
              <w:i w:val="0"/>
              <w:iCs w:val="0"/>
              <w:noProof/>
            </w:rPr>
          </w:pPr>
          <w:hyperlink w:anchor="_Toc194503863" w:history="1">
            <w:r w:rsidRPr="00201FD2">
              <w:rPr>
                <w:rStyle w:val="Hyperlink"/>
                <w:rFonts w:ascii="Times New Roman" w:eastAsia="Times New Roman" w:hAnsi="Times New Roman" w:cs="Times New Roman"/>
                <w:noProof/>
              </w:rPr>
              <w:t>3. Applicable Laws and Regulatory Framework</w:t>
            </w:r>
            <w:r>
              <w:rPr>
                <w:noProof/>
                <w:webHidden/>
              </w:rPr>
              <w:tab/>
            </w:r>
            <w:r>
              <w:rPr>
                <w:noProof/>
                <w:webHidden/>
              </w:rPr>
              <w:fldChar w:fldCharType="begin"/>
            </w:r>
            <w:r>
              <w:rPr>
                <w:noProof/>
                <w:webHidden/>
              </w:rPr>
              <w:instrText xml:space="preserve"> PAGEREF _Toc194503863 \h </w:instrText>
            </w:r>
            <w:r>
              <w:rPr>
                <w:noProof/>
                <w:webHidden/>
              </w:rPr>
            </w:r>
            <w:r>
              <w:rPr>
                <w:noProof/>
                <w:webHidden/>
              </w:rPr>
              <w:fldChar w:fldCharType="separate"/>
            </w:r>
            <w:r>
              <w:rPr>
                <w:noProof/>
                <w:webHidden/>
              </w:rPr>
              <w:t>6</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64" w:history="1">
            <w:r w:rsidRPr="00201FD2">
              <w:rPr>
                <w:rStyle w:val="Hyperlink"/>
                <w:rFonts w:ascii="Times New Roman" w:eastAsia="Times New Roman" w:hAnsi="Times New Roman" w:cs="Times New Roman"/>
                <w:noProof/>
              </w:rPr>
              <w:t>International Environmental Law</w:t>
            </w:r>
            <w:r>
              <w:rPr>
                <w:noProof/>
                <w:webHidden/>
              </w:rPr>
              <w:tab/>
            </w:r>
            <w:r>
              <w:rPr>
                <w:noProof/>
                <w:webHidden/>
              </w:rPr>
              <w:fldChar w:fldCharType="begin"/>
            </w:r>
            <w:r>
              <w:rPr>
                <w:noProof/>
                <w:webHidden/>
              </w:rPr>
              <w:instrText xml:space="preserve"> PAGEREF _Toc194503864 \h </w:instrText>
            </w:r>
            <w:r>
              <w:rPr>
                <w:noProof/>
                <w:webHidden/>
              </w:rPr>
            </w:r>
            <w:r>
              <w:rPr>
                <w:noProof/>
                <w:webHidden/>
              </w:rPr>
              <w:fldChar w:fldCharType="separate"/>
            </w:r>
            <w:r>
              <w:rPr>
                <w:noProof/>
                <w:webHidden/>
              </w:rPr>
              <w:t>6</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65" w:history="1">
            <w:r w:rsidRPr="00201FD2">
              <w:rPr>
                <w:rStyle w:val="Hyperlink"/>
                <w:rFonts w:ascii="Times New Roman" w:eastAsia="Times New Roman" w:hAnsi="Times New Roman" w:cs="Times New Roman"/>
                <w:noProof/>
              </w:rPr>
              <w:t>Regional Tourism Regulations</w:t>
            </w:r>
            <w:r>
              <w:rPr>
                <w:noProof/>
                <w:webHidden/>
              </w:rPr>
              <w:tab/>
            </w:r>
            <w:r>
              <w:rPr>
                <w:noProof/>
                <w:webHidden/>
              </w:rPr>
              <w:fldChar w:fldCharType="begin"/>
            </w:r>
            <w:r>
              <w:rPr>
                <w:noProof/>
                <w:webHidden/>
              </w:rPr>
              <w:instrText xml:space="preserve"> PAGEREF _Toc194503865 \h </w:instrText>
            </w:r>
            <w:r>
              <w:rPr>
                <w:noProof/>
                <w:webHidden/>
              </w:rPr>
            </w:r>
            <w:r>
              <w:rPr>
                <w:noProof/>
                <w:webHidden/>
              </w:rPr>
              <w:fldChar w:fldCharType="separate"/>
            </w:r>
            <w:r>
              <w:rPr>
                <w:noProof/>
                <w:webHidden/>
              </w:rPr>
              <w:t>7</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66" w:history="1">
            <w:r w:rsidRPr="00201FD2">
              <w:rPr>
                <w:rStyle w:val="Hyperlink"/>
                <w:rFonts w:ascii="Times New Roman" w:eastAsia="Times New Roman" w:hAnsi="Times New Roman" w:cs="Times New Roman"/>
                <w:noProof/>
              </w:rPr>
              <w:t>National Environmental Legislation</w:t>
            </w:r>
            <w:r>
              <w:rPr>
                <w:noProof/>
                <w:webHidden/>
              </w:rPr>
              <w:tab/>
            </w:r>
            <w:r>
              <w:rPr>
                <w:noProof/>
                <w:webHidden/>
              </w:rPr>
              <w:fldChar w:fldCharType="begin"/>
            </w:r>
            <w:r>
              <w:rPr>
                <w:noProof/>
                <w:webHidden/>
              </w:rPr>
              <w:instrText xml:space="preserve"> PAGEREF _Toc194503866 \h </w:instrText>
            </w:r>
            <w:r>
              <w:rPr>
                <w:noProof/>
                <w:webHidden/>
              </w:rPr>
            </w:r>
            <w:r>
              <w:rPr>
                <w:noProof/>
                <w:webHidden/>
              </w:rPr>
              <w:fldChar w:fldCharType="separate"/>
            </w:r>
            <w:r>
              <w:rPr>
                <w:noProof/>
                <w:webHidden/>
              </w:rPr>
              <w:t>8</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67" w:history="1">
            <w:r w:rsidRPr="00201FD2">
              <w:rPr>
                <w:rStyle w:val="Hyperlink"/>
                <w:rFonts w:ascii="Times New Roman" w:eastAsia="Times New Roman" w:hAnsi="Times New Roman" w:cs="Times New Roman"/>
                <w:noProof/>
              </w:rPr>
              <w:t>Local Permitting and Compliance</w:t>
            </w:r>
            <w:r>
              <w:rPr>
                <w:noProof/>
                <w:webHidden/>
              </w:rPr>
              <w:tab/>
            </w:r>
            <w:r>
              <w:rPr>
                <w:noProof/>
                <w:webHidden/>
              </w:rPr>
              <w:fldChar w:fldCharType="begin"/>
            </w:r>
            <w:r>
              <w:rPr>
                <w:noProof/>
                <w:webHidden/>
              </w:rPr>
              <w:instrText xml:space="preserve"> PAGEREF _Toc194503867 \h </w:instrText>
            </w:r>
            <w:r>
              <w:rPr>
                <w:noProof/>
                <w:webHidden/>
              </w:rPr>
            </w:r>
            <w:r>
              <w:rPr>
                <w:noProof/>
                <w:webHidden/>
              </w:rPr>
              <w:fldChar w:fldCharType="separate"/>
            </w:r>
            <w:r>
              <w:rPr>
                <w:noProof/>
                <w:webHidden/>
              </w:rPr>
              <w:t>9</w:t>
            </w:r>
            <w:r>
              <w:rPr>
                <w:noProof/>
                <w:webHidden/>
              </w:rPr>
              <w:fldChar w:fldCharType="end"/>
            </w:r>
          </w:hyperlink>
        </w:p>
        <w:p w:rsidR="00021315" w:rsidRDefault="00021315">
          <w:pPr>
            <w:pStyle w:val="TOC1"/>
            <w:tabs>
              <w:tab w:val="right" w:leader="dot" w:pos="9350"/>
            </w:tabs>
            <w:rPr>
              <w:rFonts w:eastAsiaTheme="minorEastAsia" w:cstheme="minorBidi"/>
              <w:b w:val="0"/>
              <w:bCs w:val="0"/>
              <w:i w:val="0"/>
              <w:iCs w:val="0"/>
              <w:noProof/>
            </w:rPr>
          </w:pPr>
          <w:hyperlink w:anchor="_Toc194503868" w:history="1">
            <w:r w:rsidRPr="00201FD2">
              <w:rPr>
                <w:rStyle w:val="Hyperlink"/>
                <w:rFonts w:ascii="Times New Roman" w:eastAsia="Times New Roman" w:hAnsi="Times New Roman" w:cs="Times New Roman"/>
                <w:noProof/>
              </w:rPr>
              <w:t>4. Stakeholder Engagement: Legal Perspectives</w:t>
            </w:r>
            <w:r>
              <w:rPr>
                <w:noProof/>
                <w:webHidden/>
              </w:rPr>
              <w:tab/>
            </w:r>
            <w:r>
              <w:rPr>
                <w:noProof/>
                <w:webHidden/>
              </w:rPr>
              <w:fldChar w:fldCharType="begin"/>
            </w:r>
            <w:r>
              <w:rPr>
                <w:noProof/>
                <w:webHidden/>
              </w:rPr>
              <w:instrText xml:space="preserve"> PAGEREF _Toc194503868 \h </w:instrText>
            </w:r>
            <w:r>
              <w:rPr>
                <w:noProof/>
                <w:webHidden/>
              </w:rPr>
            </w:r>
            <w:r>
              <w:rPr>
                <w:noProof/>
                <w:webHidden/>
              </w:rPr>
              <w:fldChar w:fldCharType="separate"/>
            </w:r>
            <w:r>
              <w:rPr>
                <w:noProof/>
                <w:webHidden/>
              </w:rPr>
              <w:t>10</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69" w:history="1">
            <w:r w:rsidRPr="00201FD2">
              <w:rPr>
                <w:rStyle w:val="Hyperlink"/>
                <w:rFonts w:ascii="Times New Roman" w:eastAsia="Times New Roman" w:hAnsi="Times New Roman" w:cs="Times New Roman"/>
                <w:noProof/>
              </w:rPr>
              <w:t>Indigenous Rights and Consultation Requirements</w:t>
            </w:r>
            <w:r>
              <w:rPr>
                <w:noProof/>
                <w:webHidden/>
              </w:rPr>
              <w:tab/>
            </w:r>
            <w:r>
              <w:rPr>
                <w:noProof/>
                <w:webHidden/>
              </w:rPr>
              <w:fldChar w:fldCharType="begin"/>
            </w:r>
            <w:r>
              <w:rPr>
                <w:noProof/>
                <w:webHidden/>
              </w:rPr>
              <w:instrText xml:space="preserve"> PAGEREF _Toc194503869 \h </w:instrText>
            </w:r>
            <w:r>
              <w:rPr>
                <w:noProof/>
                <w:webHidden/>
              </w:rPr>
            </w:r>
            <w:r>
              <w:rPr>
                <w:noProof/>
                <w:webHidden/>
              </w:rPr>
              <w:fldChar w:fldCharType="separate"/>
            </w:r>
            <w:r>
              <w:rPr>
                <w:noProof/>
                <w:webHidden/>
              </w:rPr>
              <w:t>10</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70" w:history="1">
            <w:r w:rsidRPr="00201FD2">
              <w:rPr>
                <w:rStyle w:val="Hyperlink"/>
                <w:rFonts w:ascii="Times New Roman" w:eastAsia="Times New Roman" w:hAnsi="Times New Roman" w:cs="Times New Roman"/>
                <w:noProof/>
              </w:rPr>
              <w:t>Community Benefit Agreements</w:t>
            </w:r>
            <w:r>
              <w:rPr>
                <w:noProof/>
                <w:webHidden/>
              </w:rPr>
              <w:tab/>
            </w:r>
            <w:r>
              <w:rPr>
                <w:noProof/>
                <w:webHidden/>
              </w:rPr>
              <w:fldChar w:fldCharType="begin"/>
            </w:r>
            <w:r>
              <w:rPr>
                <w:noProof/>
                <w:webHidden/>
              </w:rPr>
              <w:instrText xml:space="preserve"> PAGEREF _Toc194503870 \h </w:instrText>
            </w:r>
            <w:r>
              <w:rPr>
                <w:noProof/>
                <w:webHidden/>
              </w:rPr>
            </w:r>
            <w:r>
              <w:rPr>
                <w:noProof/>
                <w:webHidden/>
              </w:rPr>
              <w:fldChar w:fldCharType="separate"/>
            </w:r>
            <w:r>
              <w:rPr>
                <w:noProof/>
                <w:webHidden/>
              </w:rPr>
              <w:t>11</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71" w:history="1">
            <w:r w:rsidRPr="00201FD2">
              <w:rPr>
                <w:rStyle w:val="Hyperlink"/>
                <w:rFonts w:ascii="Times New Roman" w:eastAsia="Times New Roman" w:hAnsi="Times New Roman" w:cs="Times New Roman"/>
                <w:noProof/>
              </w:rPr>
              <w:t>Investor and Operator Legal Relationships</w:t>
            </w:r>
            <w:r>
              <w:rPr>
                <w:noProof/>
                <w:webHidden/>
              </w:rPr>
              <w:tab/>
            </w:r>
            <w:r>
              <w:rPr>
                <w:noProof/>
                <w:webHidden/>
              </w:rPr>
              <w:fldChar w:fldCharType="begin"/>
            </w:r>
            <w:r>
              <w:rPr>
                <w:noProof/>
                <w:webHidden/>
              </w:rPr>
              <w:instrText xml:space="preserve"> PAGEREF _Toc194503871 \h </w:instrText>
            </w:r>
            <w:r>
              <w:rPr>
                <w:noProof/>
                <w:webHidden/>
              </w:rPr>
            </w:r>
            <w:r>
              <w:rPr>
                <w:noProof/>
                <w:webHidden/>
              </w:rPr>
              <w:fldChar w:fldCharType="separate"/>
            </w:r>
            <w:r>
              <w:rPr>
                <w:noProof/>
                <w:webHidden/>
              </w:rPr>
              <w:t>12</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72" w:history="1">
            <w:r w:rsidRPr="00201FD2">
              <w:rPr>
                <w:rStyle w:val="Hyperlink"/>
                <w:rFonts w:ascii="Times New Roman" w:eastAsia="Times New Roman" w:hAnsi="Times New Roman" w:cs="Times New Roman"/>
                <w:noProof/>
              </w:rPr>
              <w:t>Customer Rights and Responsibilities</w:t>
            </w:r>
            <w:r>
              <w:rPr>
                <w:noProof/>
                <w:webHidden/>
              </w:rPr>
              <w:tab/>
            </w:r>
            <w:r>
              <w:rPr>
                <w:noProof/>
                <w:webHidden/>
              </w:rPr>
              <w:fldChar w:fldCharType="begin"/>
            </w:r>
            <w:r>
              <w:rPr>
                <w:noProof/>
                <w:webHidden/>
              </w:rPr>
              <w:instrText xml:space="preserve"> PAGEREF _Toc194503872 \h </w:instrText>
            </w:r>
            <w:r>
              <w:rPr>
                <w:noProof/>
                <w:webHidden/>
              </w:rPr>
            </w:r>
            <w:r>
              <w:rPr>
                <w:noProof/>
                <w:webHidden/>
              </w:rPr>
              <w:fldChar w:fldCharType="separate"/>
            </w:r>
            <w:r>
              <w:rPr>
                <w:noProof/>
                <w:webHidden/>
              </w:rPr>
              <w:t>13</w:t>
            </w:r>
            <w:r>
              <w:rPr>
                <w:noProof/>
                <w:webHidden/>
              </w:rPr>
              <w:fldChar w:fldCharType="end"/>
            </w:r>
          </w:hyperlink>
        </w:p>
        <w:p w:rsidR="00021315" w:rsidRDefault="00021315">
          <w:pPr>
            <w:pStyle w:val="TOC1"/>
            <w:tabs>
              <w:tab w:val="right" w:leader="dot" w:pos="9350"/>
            </w:tabs>
            <w:rPr>
              <w:rFonts w:eastAsiaTheme="minorEastAsia" w:cstheme="minorBidi"/>
              <w:b w:val="0"/>
              <w:bCs w:val="0"/>
              <w:i w:val="0"/>
              <w:iCs w:val="0"/>
              <w:noProof/>
            </w:rPr>
          </w:pPr>
          <w:hyperlink w:anchor="_Toc194503873" w:history="1">
            <w:r w:rsidRPr="00201FD2">
              <w:rPr>
                <w:rStyle w:val="Hyperlink"/>
                <w:rFonts w:ascii="Times New Roman" w:eastAsia="Times New Roman" w:hAnsi="Times New Roman" w:cs="Times New Roman"/>
                <w:noProof/>
              </w:rPr>
              <w:t>5. Sustainable Practices: Legal Implementation</w:t>
            </w:r>
            <w:r>
              <w:rPr>
                <w:noProof/>
                <w:webHidden/>
              </w:rPr>
              <w:tab/>
            </w:r>
            <w:r>
              <w:rPr>
                <w:noProof/>
                <w:webHidden/>
              </w:rPr>
              <w:fldChar w:fldCharType="begin"/>
            </w:r>
            <w:r>
              <w:rPr>
                <w:noProof/>
                <w:webHidden/>
              </w:rPr>
              <w:instrText xml:space="preserve"> PAGEREF _Toc194503873 \h </w:instrText>
            </w:r>
            <w:r>
              <w:rPr>
                <w:noProof/>
                <w:webHidden/>
              </w:rPr>
            </w:r>
            <w:r>
              <w:rPr>
                <w:noProof/>
                <w:webHidden/>
              </w:rPr>
              <w:fldChar w:fldCharType="separate"/>
            </w:r>
            <w:r>
              <w:rPr>
                <w:noProof/>
                <w:webHidden/>
              </w:rPr>
              <w:t>14</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74" w:history="1">
            <w:r w:rsidRPr="00201FD2">
              <w:rPr>
                <w:rStyle w:val="Hyperlink"/>
                <w:rFonts w:ascii="Times New Roman" w:eastAsia="Times New Roman" w:hAnsi="Times New Roman" w:cs="Times New Roman"/>
                <w:noProof/>
              </w:rPr>
              <w:t>Environmental Impact Assessment Requirements</w:t>
            </w:r>
            <w:r>
              <w:rPr>
                <w:noProof/>
                <w:webHidden/>
              </w:rPr>
              <w:tab/>
            </w:r>
            <w:r>
              <w:rPr>
                <w:noProof/>
                <w:webHidden/>
              </w:rPr>
              <w:fldChar w:fldCharType="begin"/>
            </w:r>
            <w:r>
              <w:rPr>
                <w:noProof/>
                <w:webHidden/>
              </w:rPr>
              <w:instrText xml:space="preserve"> PAGEREF _Toc194503874 \h </w:instrText>
            </w:r>
            <w:r>
              <w:rPr>
                <w:noProof/>
                <w:webHidden/>
              </w:rPr>
            </w:r>
            <w:r>
              <w:rPr>
                <w:noProof/>
                <w:webHidden/>
              </w:rPr>
              <w:fldChar w:fldCharType="separate"/>
            </w:r>
            <w:r>
              <w:rPr>
                <w:noProof/>
                <w:webHidden/>
              </w:rPr>
              <w:t>14</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75" w:history="1">
            <w:r w:rsidRPr="00201FD2">
              <w:rPr>
                <w:rStyle w:val="Hyperlink"/>
                <w:rFonts w:ascii="Times New Roman" w:eastAsia="Times New Roman" w:hAnsi="Times New Roman" w:cs="Times New Roman"/>
                <w:noProof/>
              </w:rPr>
              <w:t>Resource Management and Conservation Compliance</w:t>
            </w:r>
            <w:r>
              <w:rPr>
                <w:noProof/>
                <w:webHidden/>
              </w:rPr>
              <w:tab/>
            </w:r>
            <w:r>
              <w:rPr>
                <w:noProof/>
                <w:webHidden/>
              </w:rPr>
              <w:fldChar w:fldCharType="begin"/>
            </w:r>
            <w:r>
              <w:rPr>
                <w:noProof/>
                <w:webHidden/>
              </w:rPr>
              <w:instrText xml:space="preserve"> PAGEREF _Toc194503875 \h </w:instrText>
            </w:r>
            <w:r>
              <w:rPr>
                <w:noProof/>
                <w:webHidden/>
              </w:rPr>
            </w:r>
            <w:r>
              <w:rPr>
                <w:noProof/>
                <w:webHidden/>
              </w:rPr>
              <w:fldChar w:fldCharType="separate"/>
            </w:r>
            <w:r>
              <w:rPr>
                <w:noProof/>
                <w:webHidden/>
              </w:rPr>
              <w:t>15</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76" w:history="1">
            <w:r w:rsidRPr="00201FD2">
              <w:rPr>
                <w:rStyle w:val="Hyperlink"/>
                <w:rFonts w:ascii="Times New Roman" w:eastAsia="Times New Roman" w:hAnsi="Times New Roman" w:cs="Times New Roman"/>
                <w:noProof/>
              </w:rPr>
              <w:t>Certification Standards and Legal Recognition</w:t>
            </w:r>
            <w:r>
              <w:rPr>
                <w:noProof/>
                <w:webHidden/>
              </w:rPr>
              <w:tab/>
            </w:r>
            <w:r>
              <w:rPr>
                <w:noProof/>
                <w:webHidden/>
              </w:rPr>
              <w:fldChar w:fldCharType="begin"/>
            </w:r>
            <w:r>
              <w:rPr>
                <w:noProof/>
                <w:webHidden/>
              </w:rPr>
              <w:instrText xml:space="preserve"> PAGEREF _Toc194503876 \h </w:instrText>
            </w:r>
            <w:r>
              <w:rPr>
                <w:noProof/>
                <w:webHidden/>
              </w:rPr>
            </w:r>
            <w:r>
              <w:rPr>
                <w:noProof/>
                <w:webHidden/>
              </w:rPr>
              <w:fldChar w:fldCharType="separate"/>
            </w:r>
            <w:r>
              <w:rPr>
                <w:noProof/>
                <w:webHidden/>
              </w:rPr>
              <w:t>16</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77" w:history="1">
            <w:r w:rsidRPr="00201FD2">
              <w:rPr>
                <w:rStyle w:val="Hyperlink"/>
                <w:rFonts w:ascii="Times New Roman" w:eastAsia="Times New Roman" w:hAnsi="Times New Roman" w:cs="Times New Roman"/>
                <w:noProof/>
              </w:rPr>
              <w:t>Monitoring and Reporting Obligations</w:t>
            </w:r>
            <w:r>
              <w:rPr>
                <w:noProof/>
                <w:webHidden/>
              </w:rPr>
              <w:tab/>
            </w:r>
            <w:r>
              <w:rPr>
                <w:noProof/>
                <w:webHidden/>
              </w:rPr>
              <w:fldChar w:fldCharType="begin"/>
            </w:r>
            <w:r>
              <w:rPr>
                <w:noProof/>
                <w:webHidden/>
              </w:rPr>
              <w:instrText xml:space="preserve"> PAGEREF _Toc194503877 \h </w:instrText>
            </w:r>
            <w:r>
              <w:rPr>
                <w:noProof/>
                <w:webHidden/>
              </w:rPr>
            </w:r>
            <w:r>
              <w:rPr>
                <w:noProof/>
                <w:webHidden/>
              </w:rPr>
              <w:fldChar w:fldCharType="separate"/>
            </w:r>
            <w:r>
              <w:rPr>
                <w:noProof/>
                <w:webHidden/>
              </w:rPr>
              <w:t>17</w:t>
            </w:r>
            <w:r>
              <w:rPr>
                <w:noProof/>
                <w:webHidden/>
              </w:rPr>
              <w:fldChar w:fldCharType="end"/>
            </w:r>
          </w:hyperlink>
        </w:p>
        <w:p w:rsidR="00021315" w:rsidRDefault="00021315">
          <w:pPr>
            <w:pStyle w:val="TOC1"/>
            <w:tabs>
              <w:tab w:val="right" w:leader="dot" w:pos="9350"/>
            </w:tabs>
            <w:rPr>
              <w:rFonts w:eastAsiaTheme="minorEastAsia" w:cstheme="minorBidi"/>
              <w:b w:val="0"/>
              <w:bCs w:val="0"/>
              <w:i w:val="0"/>
              <w:iCs w:val="0"/>
              <w:noProof/>
            </w:rPr>
          </w:pPr>
          <w:hyperlink w:anchor="_Toc194503878" w:history="1">
            <w:r w:rsidRPr="00201FD2">
              <w:rPr>
                <w:rStyle w:val="Hyperlink"/>
                <w:rFonts w:ascii="Times New Roman" w:eastAsia="Times New Roman" w:hAnsi="Times New Roman" w:cs="Times New Roman"/>
                <w:noProof/>
              </w:rPr>
              <w:t>6. Case Studies in Wellness Eco-Tourism Compliance</w:t>
            </w:r>
            <w:r>
              <w:rPr>
                <w:noProof/>
                <w:webHidden/>
              </w:rPr>
              <w:tab/>
            </w:r>
            <w:r>
              <w:rPr>
                <w:noProof/>
                <w:webHidden/>
              </w:rPr>
              <w:fldChar w:fldCharType="begin"/>
            </w:r>
            <w:r>
              <w:rPr>
                <w:noProof/>
                <w:webHidden/>
              </w:rPr>
              <w:instrText xml:space="preserve"> PAGEREF _Toc194503878 \h </w:instrText>
            </w:r>
            <w:r>
              <w:rPr>
                <w:noProof/>
                <w:webHidden/>
              </w:rPr>
            </w:r>
            <w:r>
              <w:rPr>
                <w:noProof/>
                <w:webHidden/>
              </w:rPr>
              <w:fldChar w:fldCharType="separate"/>
            </w:r>
            <w:r>
              <w:rPr>
                <w:noProof/>
                <w:webHidden/>
              </w:rPr>
              <w:t>18</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79" w:history="1">
            <w:r w:rsidRPr="00201FD2">
              <w:rPr>
                <w:rStyle w:val="Hyperlink"/>
                <w:rFonts w:ascii="Times New Roman" w:eastAsia="Times New Roman" w:hAnsi="Times New Roman" w:cs="Times New Roman"/>
                <w:noProof/>
              </w:rPr>
              <w:t>Six Senses Resorts: Integrated Compliance Approach</w:t>
            </w:r>
            <w:r>
              <w:rPr>
                <w:noProof/>
                <w:webHidden/>
              </w:rPr>
              <w:tab/>
            </w:r>
            <w:r>
              <w:rPr>
                <w:noProof/>
                <w:webHidden/>
              </w:rPr>
              <w:fldChar w:fldCharType="begin"/>
            </w:r>
            <w:r>
              <w:rPr>
                <w:noProof/>
                <w:webHidden/>
              </w:rPr>
              <w:instrText xml:space="preserve"> PAGEREF _Toc194503879 \h </w:instrText>
            </w:r>
            <w:r>
              <w:rPr>
                <w:noProof/>
                <w:webHidden/>
              </w:rPr>
            </w:r>
            <w:r>
              <w:rPr>
                <w:noProof/>
                <w:webHidden/>
              </w:rPr>
              <w:fldChar w:fldCharType="separate"/>
            </w:r>
            <w:r>
              <w:rPr>
                <w:noProof/>
                <w:webHidden/>
              </w:rPr>
              <w:t>18</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80" w:history="1">
            <w:r w:rsidRPr="00201FD2">
              <w:rPr>
                <w:rStyle w:val="Hyperlink"/>
                <w:rFonts w:ascii="Times New Roman" w:eastAsia="Times New Roman" w:hAnsi="Times New Roman" w:cs="Times New Roman"/>
                <w:noProof/>
              </w:rPr>
              <w:t>Banyan Tree: Indigenous Engagement Legal Framework</w:t>
            </w:r>
            <w:r>
              <w:rPr>
                <w:noProof/>
                <w:webHidden/>
              </w:rPr>
              <w:tab/>
            </w:r>
            <w:r>
              <w:rPr>
                <w:noProof/>
                <w:webHidden/>
              </w:rPr>
              <w:fldChar w:fldCharType="begin"/>
            </w:r>
            <w:r>
              <w:rPr>
                <w:noProof/>
                <w:webHidden/>
              </w:rPr>
              <w:instrText xml:space="preserve"> PAGEREF _Toc194503880 \h </w:instrText>
            </w:r>
            <w:r>
              <w:rPr>
                <w:noProof/>
                <w:webHidden/>
              </w:rPr>
            </w:r>
            <w:r>
              <w:rPr>
                <w:noProof/>
                <w:webHidden/>
              </w:rPr>
              <w:fldChar w:fldCharType="separate"/>
            </w:r>
            <w:r>
              <w:rPr>
                <w:noProof/>
                <w:webHidden/>
              </w:rPr>
              <w:t>19</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81" w:history="1">
            <w:r w:rsidRPr="00201FD2">
              <w:rPr>
                <w:rStyle w:val="Hyperlink"/>
                <w:rFonts w:ascii="Times New Roman" w:eastAsia="Times New Roman" w:hAnsi="Times New Roman" w:cs="Times New Roman"/>
                <w:noProof/>
              </w:rPr>
              <w:t>Canyon Ranch: Navigating Multi-jurisdictional Regulations</w:t>
            </w:r>
            <w:r>
              <w:rPr>
                <w:noProof/>
                <w:webHidden/>
              </w:rPr>
              <w:tab/>
            </w:r>
            <w:r>
              <w:rPr>
                <w:noProof/>
                <w:webHidden/>
              </w:rPr>
              <w:fldChar w:fldCharType="begin"/>
            </w:r>
            <w:r>
              <w:rPr>
                <w:noProof/>
                <w:webHidden/>
              </w:rPr>
              <w:instrText xml:space="preserve"> PAGEREF _Toc194503881 \h </w:instrText>
            </w:r>
            <w:r>
              <w:rPr>
                <w:noProof/>
                <w:webHidden/>
              </w:rPr>
            </w:r>
            <w:r>
              <w:rPr>
                <w:noProof/>
                <w:webHidden/>
              </w:rPr>
              <w:fldChar w:fldCharType="separate"/>
            </w:r>
            <w:r>
              <w:rPr>
                <w:noProof/>
                <w:webHidden/>
              </w:rPr>
              <w:t>20</w:t>
            </w:r>
            <w:r>
              <w:rPr>
                <w:noProof/>
                <w:webHidden/>
              </w:rPr>
              <w:fldChar w:fldCharType="end"/>
            </w:r>
          </w:hyperlink>
        </w:p>
        <w:p w:rsidR="00021315" w:rsidRDefault="00021315">
          <w:pPr>
            <w:pStyle w:val="TOC2"/>
            <w:tabs>
              <w:tab w:val="right" w:leader="dot" w:pos="9350"/>
            </w:tabs>
            <w:rPr>
              <w:rFonts w:eastAsiaTheme="minorEastAsia" w:cstheme="minorBidi"/>
              <w:b w:val="0"/>
              <w:bCs w:val="0"/>
              <w:noProof/>
              <w:sz w:val="24"/>
              <w:szCs w:val="24"/>
            </w:rPr>
          </w:pPr>
          <w:hyperlink w:anchor="_Toc194503882" w:history="1">
            <w:r w:rsidRPr="00201FD2">
              <w:rPr>
                <w:rStyle w:val="Hyperlink"/>
                <w:rFonts w:ascii="Times New Roman" w:eastAsia="Times New Roman" w:hAnsi="Times New Roman" w:cs="Times New Roman"/>
                <w:noProof/>
              </w:rPr>
              <w:t>Challenges and Litigation Lessons</w:t>
            </w:r>
            <w:r>
              <w:rPr>
                <w:noProof/>
                <w:webHidden/>
              </w:rPr>
              <w:tab/>
            </w:r>
            <w:r>
              <w:rPr>
                <w:noProof/>
                <w:webHidden/>
              </w:rPr>
              <w:fldChar w:fldCharType="begin"/>
            </w:r>
            <w:r>
              <w:rPr>
                <w:noProof/>
                <w:webHidden/>
              </w:rPr>
              <w:instrText xml:space="preserve"> PAGEREF _Toc194503882 \h </w:instrText>
            </w:r>
            <w:r>
              <w:rPr>
                <w:noProof/>
                <w:webHidden/>
              </w:rPr>
            </w:r>
            <w:r>
              <w:rPr>
                <w:noProof/>
                <w:webHidden/>
              </w:rPr>
              <w:fldChar w:fldCharType="separate"/>
            </w:r>
            <w:r>
              <w:rPr>
                <w:noProof/>
                <w:webHidden/>
              </w:rPr>
              <w:t>21</w:t>
            </w:r>
            <w:r>
              <w:rPr>
                <w:noProof/>
                <w:webHidden/>
              </w:rPr>
              <w:fldChar w:fldCharType="end"/>
            </w:r>
          </w:hyperlink>
        </w:p>
        <w:p w:rsidR="00021315" w:rsidRDefault="00021315">
          <w:pPr>
            <w:pStyle w:val="TOC1"/>
            <w:tabs>
              <w:tab w:val="right" w:leader="dot" w:pos="9350"/>
            </w:tabs>
            <w:rPr>
              <w:rFonts w:eastAsiaTheme="minorEastAsia" w:cstheme="minorBidi"/>
              <w:b w:val="0"/>
              <w:bCs w:val="0"/>
              <w:i w:val="0"/>
              <w:iCs w:val="0"/>
              <w:noProof/>
            </w:rPr>
          </w:pPr>
          <w:hyperlink w:anchor="_Toc194503883" w:history="1">
            <w:r w:rsidRPr="00201FD2">
              <w:rPr>
                <w:rStyle w:val="Hyperlink"/>
                <w:rFonts w:ascii="Times New Roman" w:eastAsia="Times New Roman" w:hAnsi="Times New Roman" w:cs="Times New Roman"/>
                <w:noProof/>
              </w:rPr>
              <w:t>7. Conclusion</w:t>
            </w:r>
            <w:r>
              <w:rPr>
                <w:noProof/>
                <w:webHidden/>
              </w:rPr>
              <w:tab/>
            </w:r>
            <w:r>
              <w:rPr>
                <w:noProof/>
                <w:webHidden/>
              </w:rPr>
              <w:fldChar w:fldCharType="begin"/>
            </w:r>
            <w:r>
              <w:rPr>
                <w:noProof/>
                <w:webHidden/>
              </w:rPr>
              <w:instrText xml:space="preserve"> PAGEREF _Toc194503883 \h </w:instrText>
            </w:r>
            <w:r>
              <w:rPr>
                <w:noProof/>
                <w:webHidden/>
              </w:rPr>
            </w:r>
            <w:r>
              <w:rPr>
                <w:noProof/>
                <w:webHidden/>
              </w:rPr>
              <w:fldChar w:fldCharType="separate"/>
            </w:r>
            <w:r>
              <w:rPr>
                <w:noProof/>
                <w:webHidden/>
              </w:rPr>
              <w:t>22</w:t>
            </w:r>
            <w:r>
              <w:rPr>
                <w:noProof/>
                <w:webHidden/>
              </w:rPr>
              <w:fldChar w:fldCharType="end"/>
            </w:r>
          </w:hyperlink>
        </w:p>
        <w:p w:rsidR="00021315" w:rsidRDefault="00021315">
          <w:pPr>
            <w:pStyle w:val="TOC1"/>
            <w:tabs>
              <w:tab w:val="right" w:leader="dot" w:pos="9350"/>
            </w:tabs>
            <w:rPr>
              <w:rFonts w:eastAsiaTheme="minorEastAsia" w:cstheme="minorBidi"/>
              <w:b w:val="0"/>
              <w:bCs w:val="0"/>
              <w:i w:val="0"/>
              <w:iCs w:val="0"/>
              <w:noProof/>
            </w:rPr>
          </w:pPr>
          <w:hyperlink w:anchor="_Toc194503884" w:history="1">
            <w:r w:rsidRPr="00201FD2">
              <w:rPr>
                <w:rStyle w:val="Hyperlink"/>
                <w:rFonts w:ascii="Times New Roman" w:eastAsia="Times New Roman" w:hAnsi="Times New Roman" w:cs="Times New Roman"/>
                <w:noProof/>
              </w:rPr>
              <w:t>8. References</w:t>
            </w:r>
            <w:r>
              <w:rPr>
                <w:noProof/>
                <w:webHidden/>
              </w:rPr>
              <w:tab/>
            </w:r>
            <w:r>
              <w:rPr>
                <w:noProof/>
                <w:webHidden/>
              </w:rPr>
              <w:fldChar w:fldCharType="begin"/>
            </w:r>
            <w:r>
              <w:rPr>
                <w:noProof/>
                <w:webHidden/>
              </w:rPr>
              <w:instrText xml:space="preserve"> PAGEREF _Toc194503884 \h </w:instrText>
            </w:r>
            <w:r>
              <w:rPr>
                <w:noProof/>
                <w:webHidden/>
              </w:rPr>
            </w:r>
            <w:r>
              <w:rPr>
                <w:noProof/>
                <w:webHidden/>
              </w:rPr>
              <w:fldChar w:fldCharType="separate"/>
            </w:r>
            <w:r>
              <w:rPr>
                <w:noProof/>
                <w:webHidden/>
              </w:rPr>
              <w:t>23</w:t>
            </w:r>
            <w:r>
              <w:rPr>
                <w:noProof/>
                <w:webHidden/>
              </w:rPr>
              <w:fldChar w:fldCharType="end"/>
            </w:r>
          </w:hyperlink>
        </w:p>
        <w:p w:rsidR="00021315" w:rsidRDefault="00021315">
          <w:r>
            <w:rPr>
              <w:b/>
              <w:bCs/>
              <w:noProof/>
            </w:rPr>
            <w:fldChar w:fldCharType="end"/>
          </w:r>
        </w:p>
      </w:sdtContent>
    </w:sdt>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1B7F74">
      <w:pPr>
        <w:pStyle w:val="Heading1"/>
        <w:rPr>
          <w:rFonts w:ascii="Times New Roman" w:eastAsia="Times New Roman" w:hAnsi="Times New Roman" w:cs="Times New Roman"/>
          <w:b/>
          <w:bCs/>
        </w:rPr>
      </w:pPr>
      <w:bookmarkStart w:id="0" w:name="_Toc194503859"/>
      <w:r w:rsidRPr="00021315">
        <w:rPr>
          <w:rFonts w:ascii="Times New Roman" w:eastAsia="Times New Roman" w:hAnsi="Times New Roman" w:cs="Times New Roman"/>
          <w:b/>
          <w:bCs/>
        </w:rPr>
        <w:lastRenderedPageBreak/>
        <w:t>1. Introduction</w:t>
      </w:r>
      <w:bookmarkEnd w:id="0"/>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One of the fastest growing segments of the global tourism industry is the convergence of wellness tourism and eco-tourism, which yearly grows 6.5% on the market (Global Wellness Institute, 2021). This specialization lives at a crossroads of personal </w:t>
      </w:r>
      <w:proofErr w:type="spellStart"/>
      <w:r w:rsidRPr="00021315">
        <w:rPr>
          <w:rFonts w:ascii="Times New Roman" w:eastAsia="Times New Roman" w:hAnsi="Times New Roman" w:cs="Times New Roman"/>
          <w:color w:val="000000"/>
          <w:kern w:val="0"/>
          <w14:ligatures w14:val="none"/>
        </w:rPr>
        <w:t>well being</w:t>
      </w:r>
      <w:proofErr w:type="spellEnd"/>
      <w:r w:rsidRPr="00021315">
        <w:rPr>
          <w:rFonts w:ascii="Times New Roman" w:eastAsia="Times New Roman" w:hAnsi="Times New Roman" w:cs="Times New Roman"/>
          <w:color w:val="000000"/>
          <w:kern w:val="0"/>
          <w14:ligatures w14:val="none"/>
        </w:rPr>
        <w:t xml:space="preserve"> and sustainability of the environment, that provides transforming experiences of betterment of personal health as well as natural ecosystems. Nevertheless, the dual focus poses special legal and regulatory issues which are beyond what common tourism operators face.</w:t>
      </w:r>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Wellness </w:t>
      </w:r>
      <w:proofErr w:type="spellStart"/>
      <w:r w:rsidRPr="00021315">
        <w:rPr>
          <w:rFonts w:ascii="Times New Roman" w:eastAsia="Times New Roman" w:hAnsi="Times New Roman" w:cs="Times New Roman"/>
          <w:color w:val="000000"/>
          <w:kern w:val="0"/>
          <w14:ligatures w14:val="none"/>
        </w:rPr>
        <w:t>eco tourism</w:t>
      </w:r>
      <w:proofErr w:type="spellEnd"/>
      <w:r w:rsidRPr="00021315">
        <w:rPr>
          <w:rFonts w:ascii="Times New Roman" w:eastAsia="Times New Roman" w:hAnsi="Times New Roman" w:cs="Times New Roman"/>
          <w:color w:val="000000"/>
          <w:kern w:val="0"/>
          <w14:ligatures w14:val="none"/>
        </w:rPr>
        <w:t xml:space="preserve"> ventures operate in legal landscape that covers several areas such as environmental protection, tourism industry, health and safety, land use, indigenous rights, consumer protection laws and so on. Due to the complexities of complex regulatory environment, they are very challenging for operators managing the operations across multiple jurisdictions, managing ecologically sensitive areas, or both. Indeed, as Fennell (2020) states, 'The regulatory frameworks commonly employed to manage eco-tourism tend to lag behind industry innovation leaving regulatory gaps for even genuinely </w:t>
      </w:r>
      <w:proofErr w:type="spellStart"/>
      <w:proofErr w:type="gramStart"/>
      <w:r w:rsidRPr="00021315">
        <w:rPr>
          <w:rFonts w:ascii="Times New Roman" w:eastAsia="Times New Roman" w:hAnsi="Times New Roman" w:cs="Times New Roman"/>
          <w:color w:val="000000"/>
          <w:kern w:val="0"/>
          <w14:ligatures w14:val="none"/>
        </w:rPr>
        <w:t>well meaning</w:t>
      </w:r>
      <w:proofErr w:type="spellEnd"/>
      <w:proofErr w:type="gramEnd"/>
      <w:r w:rsidRPr="00021315">
        <w:rPr>
          <w:rFonts w:ascii="Times New Roman" w:eastAsia="Times New Roman" w:hAnsi="Times New Roman" w:cs="Times New Roman"/>
          <w:color w:val="000000"/>
          <w:kern w:val="0"/>
          <w14:ligatures w14:val="none"/>
        </w:rPr>
        <w:t xml:space="preserve"> operators' (p. 118).</w:t>
      </w:r>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A holistic legal and regulatory compliance company structure for sustainable wellness eco-tourism business operations is developed in this report that covers the sundry legal considerations required for proper operation. Three objectives are identified: (a) to identify the core legal principles and rules that are applicable to wellness eco-tourism; (b) to devise practical procedures for compliance balancing business viability with legal requirements; and (c) to evaluate the case studies exemplifying the ways of applying legal solution to common problems in the industry.</w:t>
      </w:r>
    </w:p>
    <w:p w:rsidR="00186B57" w:rsidRPr="00186B57"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It covers international, regional and national legal frameworks, particularly concentrating on developed eco–tourism industry jurisdictions such as Australia, Costa Rica, New Zealand and the European Union. Admitting the benefits of particular local regulations, the main body of the analysis addresses what it calls generalized legal principles, which can be applied in a wide range of operations. The framework can be used as a practical guide for both established in the endeavor to improve their compliance and entrepreneurs start new wellness </w:t>
      </w:r>
      <w:proofErr w:type="spellStart"/>
      <w:r w:rsidRPr="00021315">
        <w:rPr>
          <w:rFonts w:ascii="Times New Roman" w:eastAsia="Times New Roman" w:hAnsi="Times New Roman" w:cs="Times New Roman"/>
          <w:color w:val="000000"/>
          <w:kern w:val="0"/>
          <w14:ligatures w14:val="none"/>
        </w:rPr>
        <w:t>eco tourism</w:t>
      </w:r>
      <w:proofErr w:type="spellEnd"/>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021315" w:rsidRDefault="00186B57" w:rsidP="001B7F74">
      <w:pPr>
        <w:pStyle w:val="Heading1"/>
        <w:rPr>
          <w:rFonts w:ascii="Times New Roman" w:eastAsia="Times New Roman" w:hAnsi="Times New Roman" w:cs="Times New Roman"/>
          <w:b/>
          <w:bCs/>
        </w:rPr>
      </w:pPr>
      <w:bookmarkStart w:id="1" w:name="_Toc194503860"/>
      <w:r w:rsidRPr="00021315">
        <w:rPr>
          <w:rFonts w:ascii="Times New Roman" w:eastAsia="Times New Roman" w:hAnsi="Times New Roman" w:cs="Times New Roman"/>
          <w:b/>
          <w:bCs/>
        </w:rPr>
        <w:lastRenderedPageBreak/>
        <w:t>2. Environmental Mission and Sustainable Wellness Tourism</w:t>
      </w:r>
      <w:bookmarkEnd w:id="1"/>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1B7F74">
      <w:pPr>
        <w:pStyle w:val="Heading2"/>
        <w:rPr>
          <w:rFonts w:ascii="Times New Roman" w:eastAsia="Times New Roman" w:hAnsi="Times New Roman" w:cs="Times New Roman"/>
          <w:b/>
          <w:bCs/>
          <w:sz w:val="24"/>
          <w:szCs w:val="24"/>
        </w:rPr>
      </w:pPr>
      <w:bookmarkStart w:id="2" w:name="_Toc194503861"/>
      <w:r w:rsidRPr="00021315">
        <w:rPr>
          <w:rFonts w:ascii="Times New Roman" w:eastAsia="Times New Roman" w:hAnsi="Times New Roman" w:cs="Times New Roman"/>
          <w:b/>
          <w:bCs/>
          <w:sz w:val="24"/>
          <w:szCs w:val="24"/>
        </w:rPr>
        <w:t>Conceptual Framework</w:t>
      </w:r>
      <w:bookmarkEnd w:id="2"/>
    </w:p>
    <w:p w:rsidR="00186B57" w:rsidRPr="00186B57" w:rsidRDefault="001B7F74"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Every wellness eco-tourism operation establishes its environmental mission statement to demonstrate its dedication towards sustainability principles. The mission includes more than promotional language because it sets binding legal obligations which direct operational choices and stakeholder contact. Christie and Mason (2003) explain that tourism environmental missions need to create legal agreements with stakeholders to enforce standards for assessment purposes (p. 8)</w:t>
      </w:r>
      <w:r w:rsidR="00186B57" w:rsidRPr="00186B57">
        <w:rPr>
          <w:rFonts w:ascii="Times New Roman" w:eastAsia="Times New Roman" w:hAnsi="Times New Roman" w:cs="Times New Roman"/>
          <w:color w:val="000000"/>
          <w:kern w:val="0"/>
          <w14:ligatures w14:val="none"/>
        </w:rPr>
        <w:t>.</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A legally robust environmental mission for wellness eco-tourism ventures should incorporate four key elements: (1) specific environmental protection commitments; (2) wellness philosophy that complements ecological values; (3) quantifiable sustainability targets; and (4) governance mechanisms for accountability. These elements transform aspirational statements into actionable legal frameworks that guide compliance activities and stakeholder expectations (</w:t>
      </w:r>
      <w:proofErr w:type="spellStart"/>
      <w:r w:rsidRPr="00186B57">
        <w:rPr>
          <w:rFonts w:ascii="Times New Roman" w:eastAsia="Times New Roman" w:hAnsi="Times New Roman" w:cs="Times New Roman"/>
          <w:color w:val="000000"/>
          <w:kern w:val="0"/>
          <w14:ligatures w14:val="none"/>
        </w:rPr>
        <w:t>Spenceley</w:t>
      </w:r>
      <w:proofErr w:type="spellEnd"/>
      <w:r w:rsidRPr="00186B57">
        <w:rPr>
          <w:rFonts w:ascii="Times New Roman" w:eastAsia="Times New Roman" w:hAnsi="Times New Roman" w:cs="Times New Roman"/>
          <w:color w:val="000000"/>
          <w:kern w:val="0"/>
          <w14:ligatures w14:val="none"/>
        </w:rPr>
        <w:t>, 2019).</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The integration of wellness and ecological sustainability creates distinctive legal considerations. While conventional eco-tourism focuses primarily on minimizing environmental impacts, wellness eco-tourism must additionally address health claims, therapeutic practices, and the physiological impacts of wellness offerings. This dual focus necessitates compliance with both environmental regulations and health-related legal frameworks, creating what Bushell and Sheldon (2019) term "intersectional compliance requirements" (p. 145).</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021315">
      <w:pPr>
        <w:pStyle w:val="Heading2"/>
        <w:rPr>
          <w:rFonts w:ascii="Times New Roman" w:eastAsia="Times New Roman" w:hAnsi="Times New Roman" w:cs="Times New Roman"/>
          <w:b/>
          <w:bCs/>
          <w:sz w:val="24"/>
          <w:szCs w:val="24"/>
        </w:rPr>
      </w:pPr>
      <w:bookmarkStart w:id="3" w:name="_Toc194503862"/>
      <w:r w:rsidRPr="00021315">
        <w:rPr>
          <w:rFonts w:ascii="Times New Roman" w:eastAsia="Times New Roman" w:hAnsi="Times New Roman" w:cs="Times New Roman"/>
          <w:b/>
          <w:bCs/>
          <w:sz w:val="24"/>
          <w:szCs w:val="24"/>
        </w:rPr>
        <w:lastRenderedPageBreak/>
        <w:t>Legal Foundations for Environmental Missions</w:t>
      </w:r>
      <w:bookmarkEnd w:id="3"/>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Environmental mission statements gain legal significance through several mechanisms that transform aspirational goals into enforceable obligations. First, when incorporated into corporate governance documents such as articles of incorporation or bylaws, environmental commitments become legally binding on directors and officers through fiduciary duty obligations. In jurisdictions with benefit corporation legislation, such as 36 U.S. states and the District of Columbia, these commitments receive explicit legal protection through statutory public benefit requirements (Hiller, 2013).</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Second, environmental missions create contractual obligations when incorporated into stakeholder agreements, including supplier contracts, employee handbooks, and customer terms of service. These contractual integrations enable enforcement through private law mechanisms even when regulatory oversight is limited. The New Zealand case of Wakatipu Environmental Society v. Queenstown Lakes District Council (2000) established that tourism operators' environmental commitments can create enforceable expectations when communicated to customers and the public.</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Third, environmental missions shape regulatory relationships by establishing voluntary compliance standards that may exceed minimum legal requirements. As demonstrated in the case of Banyan Tree Hotels &amp; Resorts' Sanctuary Club program, proactive environmental commitments can establish positive relationships with regulatory authorities and create a presumption of good faith during compliance reviews (Banyan Tree, 2022). However, as cautioned by Holden (2016), "voluntarily established standards can transform into legal liabilities if organizations fail to meet their self-imposed environmental commitments" (p. 76).</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021315" w:rsidRDefault="00186B57" w:rsidP="001B7F74">
      <w:pPr>
        <w:pStyle w:val="Heading1"/>
        <w:rPr>
          <w:rFonts w:ascii="Times New Roman" w:eastAsia="Times New Roman" w:hAnsi="Times New Roman" w:cs="Times New Roman"/>
          <w:b/>
          <w:bCs/>
        </w:rPr>
      </w:pPr>
      <w:bookmarkStart w:id="4" w:name="_Toc194503863"/>
      <w:r w:rsidRPr="00021315">
        <w:rPr>
          <w:rFonts w:ascii="Times New Roman" w:eastAsia="Times New Roman" w:hAnsi="Times New Roman" w:cs="Times New Roman"/>
          <w:b/>
          <w:bCs/>
        </w:rPr>
        <w:lastRenderedPageBreak/>
        <w:t>3. Applicable Laws and Regulatory Framework</w:t>
      </w:r>
      <w:bookmarkEnd w:id="4"/>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1B7F74">
      <w:pPr>
        <w:pStyle w:val="Heading2"/>
        <w:rPr>
          <w:rFonts w:ascii="Times New Roman" w:eastAsia="Times New Roman" w:hAnsi="Times New Roman" w:cs="Times New Roman"/>
          <w:b/>
          <w:bCs/>
          <w:sz w:val="24"/>
          <w:szCs w:val="24"/>
        </w:rPr>
      </w:pPr>
      <w:bookmarkStart w:id="5" w:name="_Toc194503864"/>
      <w:r w:rsidRPr="00021315">
        <w:rPr>
          <w:rFonts w:ascii="Times New Roman" w:eastAsia="Times New Roman" w:hAnsi="Times New Roman" w:cs="Times New Roman"/>
          <w:b/>
          <w:bCs/>
          <w:sz w:val="24"/>
          <w:szCs w:val="24"/>
        </w:rPr>
        <w:t>International Environmental Law</w:t>
      </w:r>
      <w:bookmarkEnd w:id="5"/>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Wellness eco-tourism ventures operate within an international legal framework established through multilateral environmental agreements (MEAs) and tourism-specific protocols. While these international instruments typically lack direct enforcement mechanisms for private entities, they establish principles that inform national legislation and create standards of care that influence judicial interpretations of liability.</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The Convention on Biological Diversity (CBD) and its 2010 Nagoya Protocol establish legal principles regarding access to genetic resources and benefit-sharing that directly impact wellness tourism operations utilizing local botanical resources for spa treatments or wellness products. Compliance requires documented prior informed consent from indigenous communities and equitable benefit-sharing arrangements when utilizing traditional knowledge or local biological resources (Secretariat of the Convention on Biological Diversity, 2011).</w:t>
      </w:r>
    </w:p>
    <w:p w:rsidR="001B7F74" w:rsidRPr="00021315" w:rsidRDefault="00186B57"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 xml:space="preserve">The United Nations World Tourism Organization's (UNWTO) Global Code of Ethics for Tourism, while not legally binding, has been incorporated into national tourism legislation in countries including Costa Rica, Ecuador, and Indonesia. </w:t>
      </w:r>
      <w:r w:rsidR="001B7F74" w:rsidRPr="00021315">
        <w:rPr>
          <w:rFonts w:ascii="Times New Roman" w:eastAsia="Times New Roman" w:hAnsi="Times New Roman" w:cs="Times New Roman"/>
          <w:color w:val="000000"/>
          <w:kern w:val="0"/>
          <w14:ligatures w14:val="none"/>
        </w:rPr>
        <w:t>Article 3 establishes tourism as the main subject of sustainable development which courts have applied in their decision-making during tourism liability cases (UNWTO, 2020).</w:t>
      </w:r>
    </w:p>
    <w:p w:rsidR="00186B57" w:rsidRPr="00186B57"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Wellness eco-tourism operations need to comply with climate change legal frameworks through their national implementation measures because of the Paris Agreement requirements. Wellness eco-tourism facilities must follow environmental requirements that cover energy efficiency standards together with emission reporting and carbon pricing systems. The Six Senses resort chain encountered direct obstacles during Thailand's implementation of its Climate Change Master Plan because it needed to modify both its energy systems and carbon tracking procedures (Six Senses, 2021)</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1B7F74">
      <w:pPr>
        <w:pStyle w:val="Heading2"/>
        <w:rPr>
          <w:rFonts w:ascii="Times New Roman" w:eastAsia="Times New Roman" w:hAnsi="Times New Roman" w:cs="Times New Roman"/>
          <w:b/>
          <w:bCs/>
          <w:sz w:val="24"/>
          <w:szCs w:val="24"/>
        </w:rPr>
      </w:pPr>
      <w:bookmarkStart w:id="6" w:name="_Toc194503865"/>
      <w:r w:rsidRPr="00021315">
        <w:rPr>
          <w:rFonts w:ascii="Times New Roman" w:eastAsia="Times New Roman" w:hAnsi="Times New Roman" w:cs="Times New Roman"/>
          <w:b/>
          <w:bCs/>
          <w:sz w:val="24"/>
          <w:szCs w:val="24"/>
        </w:rPr>
        <w:lastRenderedPageBreak/>
        <w:t>Regional Tourism Regulations</w:t>
      </w:r>
      <w:bookmarkEnd w:id="6"/>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Formal rules in different locations establish new compliance standards which differ substantially from one region to another. Customers in the European Union benefit from extensive tourism regulations which include PCO (Directive 2015/2302), consumer rights and environmental impact assessment guidelines that establish important requirements for wellness eco-tourism companies. Every operator must follow strict information disclosure rules alongside providing cancellation options alongside completing environmental assessments to receive development approval according to European Commission (2019).</w:t>
      </w:r>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METZ examines the ASEAN Tourism Standards established by the Association of Southeast Asian Nations (ASEAN) to regulate eco-tourism and spa services through its specific directives. The voluntary standards act as implicit recognition requirements for operators that wish to obtain official recognition and they are now used in national licensing systems. The Banyan Tree Group establishes adherence to ASEAN regional safety and environmental standards which enables them to operate businesses across all member nations in the ASEAN region (ASEAN Secretariat, 2016).</w:t>
      </w:r>
    </w:p>
    <w:p w:rsidR="00186B57" w:rsidRPr="00186B57"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Through its Central American Integration System (SICA) programs the region has established eco-tourism certification standards which enforce universal compliance standards for member states. Real-world evidence shows that receiving these certifications creates legal protection of environmental compliance when operators reach the regional requirements. Costa Rica led the way when it developed the Certification for Sustainable Tourism (CST) program which proves how regional compliance systems achieve seamless monitoring in different national territories (Instituto </w:t>
      </w:r>
      <w:proofErr w:type="spellStart"/>
      <w:r w:rsidRPr="00021315">
        <w:rPr>
          <w:rFonts w:ascii="Times New Roman" w:eastAsia="Times New Roman" w:hAnsi="Times New Roman" w:cs="Times New Roman"/>
          <w:color w:val="000000"/>
          <w:kern w:val="0"/>
          <w14:ligatures w14:val="none"/>
        </w:rPr>
        <w:t>Costarricense</w:t>
      </w:r>
      <w:proofErr w:type="spellEnd"/>
      <w:r w:rsidRPr="00021315">
        <w:rPr>
          <w:rFonts w:ascii="Times New Roman" w:eastAsia="Times New Roman" w:hAnsi="Times New Roman" w:cs="Times New Roman"/>
          <w:color w:val="000000"/>
          <w:kern w:val="0"/>
          <w14:ligatures w14:val="none"/>
        </w:rPr>
        <w:t xml:space="preserve"> de Turismo, 2022)</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1B7F74">
      <w:pPr>
        <w:pStyle w:val="Heading2"/>
        <w:rPr>
          <w:rFonts w:ascii="Times New Roman" w:eastAsia="Times New Roman" w:hAnsi="Times New Roman" w:cs="Times New Roman"/>
          <w:b/>
          <w:bCs/>
          <w:sz w:val="24"/>
          <w:szCs w:val="24"/>
        </w:rPr>
      </w:pPr>
      <w:bookmarkStart w:id="7" w:name="_Toc194503866"/>
      <w:r w:rsidRPr="00021315">
        <w:rPr>
          <w:rFonts w:ascii="Times New Roman" w:eastAsia="Times New Roman" w:hAnsi="Times New Roman" w:cs="Times New Roman"/>
          <w:b/>
          <w:bCs/>
          <w:sz w:val="24"/>
          <w:szCs w:val="24"/>
        </w:rPr>
        <w:lastRenderedPageBreak/>
        <w:t>National Environmental Legislation</w:t>
      </w:r>
      <w:bookmarkEnd w:id="7"/>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Wellness eco-tourism businesses must fulfill their most significant compliance requirements through national environmental legislation. Environmental regulation applies through protected area operations in addition to environmental impact assessment programs and systems for water resources protection and waste disposal and endangered species security. Tour operators must meet requirements under general environmental rules while following specific tourism-related prescriptive measures that might have exemptions or unique specifications.</w:t>
      </w:r>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Wellness eco-tourism businesses encounter special difficulties with protected area regulations when they intend to locate near or inside protected natural areas. The protection of sensitive ecosystems by the Australia Environment Protection and Biodiversity Conservation Act 1999 (</w:t>
      </w:r>
      <w:proofErr w:type="spellStart"/>
      <w:r w:rsidRPr="00021315">
        <w:rPr>
          <w:rFonts w:ascii="Times New Roman" w:eastAsia="Times New Roman" w:hAnsi="Times New Roman" w:cs="Times New Roman"/>
          <w:color w:val="000000"/>
          <w:kern w:val="0"/>
          <w14:ligatures w14:val="none"/>
        </w:rPr>
        <w:t>Cth</w:t>
      </w:r>
      <w:proofErr w:type="spellEnd"/>
      <w:r w:rsidRPr="00021315">
        <w:rPr>
          <w:rFonts w:ascii="Times New Roman" w:eastAsia="Times New Roman" w:hAnsi="Times New Roman" w:cs="Times New Roman"/>
          <w:color w:val="000000"/>
          <w:kern w:val="0"/>
          <w14:ligatures w14:val="none"/>
        </w:rPr>
        <w:t xml:space="preserve">) demands Commonwealth-level approval for all actions affecting designated protected matters therefore requiring multiple approval steps from nearby developments. The Wolgan Valley Resort &amp; Spa natural expansion project succeeded due to stringent regulatory engagement and robust environmental assessments according to Emirates </w:t>
      </w:r>
      <w:proofErr w:type="spellStart"/>
      <w:r w:rsidRPr="00021315">
        <w:rPr>
          <w:rFonts w:ascii="Times New Roman" w:eastAsia="Times New Roman" w:hAnsi="Times New Roman" w:cs="Times New Roman"/>
          <w:color w:val="000000"/>
          <w:kern w:val="0"/>
          <w14:ligatures w14:val="none"/>
        </w:rPr>
        <w:t>One&amp;Only</w:t>
      </w:r>
      <w:proofErr w:type="spellEnd"/>
      <w:r w:rsidRPr="00021315">
        <w:rPr>
          <w:rFonts w:ascii="Times New Roman" w:eastAsia="Times New Roman" w:hAnsi="Times New Roman" w:cs="Times New Roman"/>
          <w:color w:val="000000"/>
          <w:kern w:val="0"/>
          <w14:ligatures w14:val="none"/>
        </w:rPr>
        <w:t xml:space="preserve"> (2019).</w:t>
      </w:r>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The EIA procedure across different regions requires four main stages including screening, scoping and assessment and monitoring. The Resource Management Act 1991 in New Zealand establishes a complete EIA framework which demands extensive evaluation of natural environmental and cultural and social effects. Regulatory approval was achieved for </w:t>
      </w:r>
      <w:proofErr w:type="spellStart"/>
      <w:r w:rsidRPr="00021315">
        <w:rPr>
          <w:rFonts w:ascii="Times New Roman" w:eastAsia="Times New Roman" w:hAnsi="Times New Roman" w:cs="Times New Roman"/>
          <w:color w:val="000000"/>
          <w:kern w:val="0"/>
          <w14:ligatures w14:val="none"/>
        </w:rPr>
        <w:t>Tuhura</w:t>
      </w:r>
      <w:proofErr w:type="spellEnd"/>
      <w:r w:rsidRPr="00021315">
        <w:rPr>
          <w:rFonts w:ascii="Times New Roman" w:eastAsia="Times New Roman" w:hAnsi="Times New Roman" w:cs="Times New Roman"/>
          <w:color w:val="000000"/>
          <w:kern w:val="0"/>
          <w14:ligatures w14:val="none"/>
        </w:rPr>
        <w:t xml:space="preserve"> Wellness Sanctuary through the combination of traditional Māori knowledge with EIA procedures according to New Zealand Environment Court (2018).</w:t>
      </w:r>
    </w:p>
    <w:p w:rsidR="00186B57" w:rsidRPr="00186B57"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requirement to manage water and waste proves difficult for wellness facilities because these facilities require substantial water intake for health purposes. The Factory Act and Public Health Act of Thailand provide clear specifications about wastewater treatment standards for spas and establish testing and reporting criteria for such facilities. Six Senses Samui demonstrates how treating water for new usage allows both regulatory compliance and cost savings through creative developments (Six Senses, 2021)</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1B7F74">
      <w:pPr>
        <w:pStyle w:val="Heading2"/>
        <w:rPr>
          <w:rFonts w:ascii="Times New Roman" w:eastAsia="Times New Roman" w:hAnsi="Times New Roman" w:cs="Times New Roman"/>
          <w:b/>
          <w:bCs/>
          <w:sz w:val="24"/>
          <w:szCs w:val="24"/>
        </w:rPr>
      </w:pPr>
      <w:bookmarkStart w:id="8" w:name="_Toc194503867"/>
      <w:r w:rsidRPr="00021315">
        <w:rPr>
          <w:rFonts w:ascii="Times New Roman" w:eastAsia="Times New Roman" w:hAnsi="Times New Roman" w:cs="Times New Roman"/>
          <w:b/>
          <w:bCs/>
          <w:sz w:val="24"/>
          <w:szCs w:val="24"/>
        </w:rPr>
        <w:lastRenderedPageBreak/>
        <w:t>Local Permitting and Compliance</w:t>
      </w:r>
      <w:bookmarkEnd w:id="8"/>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authorities in municipal governments maintain authority to approve land development plans as well as building permits and health licenses and business operation agreements that determine wellness-based eco-tourism ventures. The most pressing compliance challenges appear from local requirements since different municipalities interpret national laws through their own standards.</w:t>
      </w:r>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Zoning regulations impose guidelines regarding land use authorization and development controls which also include provisions for environmental tourism premises. The Maritime Zone Law of Costa Rica arranges coastal tourism zones to follow dedicated designations that impose distance requirements and density controls which affect building designs. The Harmony Hotel in </w:t>
      </w:r>
      <w:proofErr w:type="spellStart"/>
      <w:r w:rsidRPr="00021315">
        <w:rPr>
          <w:rFonts w:ascii="Times New Roman" w:eastAsia="Times New Roman" w:hAnsi="Times New Roman" w:cs="Times New Roman"/>
          <w:color w:val="000000"/>
          <w:kern w:val="0"/>
          <w14:ligatures w14:val="none"/>
        </w:rPr>
        <w:t>Nosara</w:t>
      </w:r>
      <w:proofErr w:type="spellEnd"/>
      <w:r w:rsidRPr="00021315">
        <w:rPr>
          <w:rFonts w:ascii="Times New Roman" w:eastAsia="Times New Roman" w:hAnsi="Times New Roman" w:cs="Times New Roman"/>
          <w:color w:val="000000"/>
          <w:kern w:val="0"/>
          <w14:ligatures w14:val="none"/>
        </w:rPr>
        <w:t xml:space="preserve"> established its wellness center according to strict regulations through minimal beachfront development and excellent guest engagement capabilities (The Harmony Hotel, 2022).</w:t>
      </w:r>
    </w:p>
    <w:p w:rsidR="00186B57" w:rsidRPr="00186B57"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Local building regulations now include responsibility for sustainability in wellness facilities by enforcing minimum performance levels for energy efficiency and water conservation and sustainable construction materials selection</w:t>
      </w:r>
      <w:r w:rsidR="00186B57" w:rsidRPr="00186B57">
        <w:rPr>
          <w:rFonts w:ascii="Times New Roman" w:eastAsia="Times New Roman" w:hAnsi="Times New Roman" w:cs="Times New Roman"/>
          <w:color w:val="000000"/>
          <w:kern w:val="0"/>
          <w14:ligatures w14:val="none"/>
        </w:rPr>
        <w:t>. California's Title 24 Building Energy Efficiency Standards establish some of the world's most stringent requirements, significantly impacting development costs for wellness facilities. The Post Ranch Inn in Big Sur demonstrates successful compliance through biophilic design that integrates energy efficiency with wellness principles (Post Ranch Inn, 2020).</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 xml:space="preserve">Operational permits for wellness activities present another compliance layer, particularly for services with potential health impacts. Thailand's Health Establishment Act requires specific licensing for all wellness services, with different requirements for traditional and modern practices. The </w:t>
      </w:r>
      <w:proofErr w:type="spellStart"/>
      <w:r w:rsidRPr="00186B57">
        <w:rPr>
          <w:rFonts w:ascii="Times New Roman" w:eastAsia="Times New Roman" w:hAnsi="Times New Roman" w:cs="Times New Roman"/>
          <w:color w:val="000000"/>
          <w:kern w:val="0"/>
          <w14:ligatures w14:val="none"/>
        </w:rPr>
        <w:t>Kamalaya</w:t>
      </w:r>
      <w:proofErr w:type="spellEnd"/>
      <w:r w:rsidRPr="00186B57">
        <w:rPr>
          <w:rFonts w:ascii="Times New Roman" w:eastAsia="Times New Roman" w:hAnsi="Times New Roman" w:cs="Times New Roman"/>
          <w:color w:val="000000"/>
          <w:kern w:val="0"/>
          <w14:ligatures w14:val="none"/>
        </w:rPr>
        <w:t xml:space="preserve"> Wellness Sanctuary case illustrates the complexity of obtaining multiple operational permits for an integrated wellness program offering both traditional Thai and contemporary therapeutic modalities (</w:t>
      </w:r>
      <w:proofErr w:type="spellStart"/>
      <w:r w:rsidRPr="00186B57">
        <w:rPr>
          <w:rFonts w:ascii="Times New Roman" w:eastAsia="Times New Roman" w:hAnsi="Times New Roman" w:cs="Times New Roman"/>
          <w:color w:val="000000"/>
          <w:kern w:val="0"/>
          <w14:ligatures w14:val="none"/>
        </w:rPr>
        <w:t>Kamalaya</w:t>
      </w:r>
      <w:proofErr w:type="spellEnd"/>
      <w:r w:rsidRPr="00186B57">
        <w:rPr>
          <w:rFonts w:ascii="Times New Roman" w:eastAsia="Times New Roman" w:hAnsi="Times New Roman" w:cs="Times New Roman"/>
          <w:color w:val="000000"/>
          <w:kern w:val="0"/>
          <w14:ligatures w14:val="none"/>
        </w:rPr>
        <w:t>, 2021).</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021315" w:rsidRDefault="00186B57" w:rsidP="001B7F74">
      <w:pPr>
        <w:pStyle w:val="Heading1"/>
        <w:rPr>
          <w:rFonts w:ascii="Times New Roman" w:eastAsia="Times New Roman" w:hAnsi="Times New Roman" w:cs="Times New Roman"/>
          <w:b/>
          <w:bCs/>
        </w:rPr>
      </w:pPr>
      <w:bookmarkStart w:id="9" w:name="_Toc194503868"/>
      <w:r w:rsidRPr="00021315">
        <w:rPr>
          <w:rFonts w:ascii="Times New Roman" w:eastAsia="Times New Roman" w:hAnsi="Times New Roman" w:cs="Times New Roman"/>
          <w:b/>
          <w:bCs/>
        </w:rPr>
        <w:lastRenderedPageBreak/>
        <w:t>4. Stakeholder Engagement: Legal Perspectives</w:t>
      </w:r>
      <w:bookmarkEnd w:id="9"/>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1B7F74">
      <w:pPr>
        <w:pStyle w:val="Heading2"/>
        <w:rPr>
          <w:rFonts w:ascii="Times New Roman" w:eastAsia="Times New Roman" w:hAnsi="Times New Roman" w:cs="Times New Roman"/>
          <w:b/>
          <w:bCs/>
          <w:sz w:val="24"/>
          <w:szCs w:val="24"/>
        </w:rPr>
      </w:pPr>
      <w:bookmarkStart w:id="10" w:name="_Toc194503869"/>
      <w:r w:rsidRPr="00021315">
        <w:rPr>
          <w:rFonts w:ascii="Times New Roman" w:eastAsia="Times New Roman" w:hAnsi="Times New Roman" w:cs="Times New Roman"/>
          <w:b/>
          <w:bCs/>
          <w:sz w:val="24"/>
          <w:szCs w:val="24"/>
        </w:rPr>
        <w:t>Indigenous Rights and Consultation Requirements</w:t>
      </w:r>
      <w:bookmarkEnd w:id="10"/>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Indigenous peoples' rights create significant legal obligations for wellness eco-tourism ventures, particularly those operating on or near traditional territories. The United Nations Declaration on the Rights of Indigenous Peoples (UNDRIP), while not universally binding, has influenced national legislation and judicial interpretations regarding consultation requirements and benefit-sharing obligations.</w:t>
      </w:r>
    </w:p>
    <w:p w:rsidR="001B7F74" w:rsidRPr="00021315" w:rsidRDefault="00186B57"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 xml:space="preserve">Free, Prior and Informed Consent (FPIC) principles have been incorporated into national legislation in countries including Australia, Canada, and Peru, creating mandatory consultation processes before development approval. </w:t>
      </w:r>
      <w:r w:rsidR="001B7F74" w:rsidRPr="00021315">
        <w:rPr>
          <w:rFonts w:ascii="Times New Roman" w:eastAsia="Times New Roman" w:hAnsi="Times New Roman" w:cs="Times New Roman"/>
          <w:color w:val="000000"/>
          <w:kern w:val="0"/>
          <w14:ligatures w14:val="none"/>
        </w:rPr>
        <w:t>A legally recognized set of agreements about land use along with cultural interpretation and economic participation was established because of extensive Anangu people engagement at Longitude 131° near Uluru according to Voyages Indigenous Tourism (2022).</w:t>
      </w:r>
    </w:p>
    <w:p w:rsidR="00186B57" w:rsidRPr="00186B57"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Marketing operations that utilize traditional indigenous wellness practices face specific challenges to protect cultural intellectual property rights when implementing botanical knowledge and healing traditions in wellness tourism. Australia's Whitehorse v. The commercial exploitation of indigenous knowledge without authorization according to Oliver (1994) could result in liability against wellness operators. Strong legal metrics through formal licensing agreements form the basis of protection for traditional Thai therapies at Banyan Tree Spa (Banyan Tree, 2022)</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1B7F74">
      <w:pPr>
        <w:pStyle w:val="Heading2"/>
        <w:rPr>
          <w:rFonts w:ascii="Times New Roman" w:eastAsia="Times New Roman" w:hAnsi="Times New Roman" w:cs="Times New Roman"/>
          <w:b/>
          <w:bCs/>
          <w:sz w:val="24"/>
          <w:szCs w:val="24"/>
        </w:rPr>
      </w:pPr>
      <w:bookmarkStart w:id="11" w:name="_Toc194503870"/>
      <w:r w:rsidRPr="00021315">
        <w:rPr>
          <w:rFonts w:ascii="Times New Roman" w:eastAsia="Times New Roman" w:hAnsi="Times New Roman" w:cs="Times New Roman"/>
          <w:b/>
          <w:bCs/>
          <w:sz w:val="24"/>
          <w:szCs w:val="24"/>
        </w:rPr>
        <w:lastRenderedPageBreak/>
        <w:t>Community Benefit Agreements</w:t>
      </w:r>
      <w:bookmarkEnd w:id="11"/>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Tourism operators establish Community Benefit Agreements as important legal contracts to define their partnerships with local communities. Community Benefit Agreements serve as legal documents which require parties to complete binding arrangements about their staff needs along with their responsibility to procure from local suppliers and contributions to local infrastructure and environmental protections.</w:t>
      </w:r>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CBAs implement different arrangements across regional authorities that contain mandatory parts for monitoring progress together with settlement processes as well as enforcement systems. Six Senses Fiji holds to reporting obligations with the </w:t>
      </w:r>
      <w:proofErr w:type="spellStart"/>
      <w:r w:rsidRPr="00021315">
        <w:rPr>
          <w:rFonts w:ascii="Times New Roman" w:eastAsia="Times New Roman" w:hAnsi="Times New Roman" w:cs="Times New Roman"/>
          <w:color w:val="000000"/>
          <w:kern w:val="0"/>
          <w14:ligatures w14:val="none"/>
        </w:rPr>
        <w:t>Malolo</w:t>
      </w:r>
      <w:proofErr w:type="spellEnd"/>
      <w:r w:rsidRPr="00021315">
        <w:rPr>
          <w:rFonts w:ascii="Times New Roman" w:eastAsia="Times New Roman" w:hAnsi="Times New Roman" w:cs="Times New Roman"/>
          <w:color w:val="000000"/>
          <w:kern w:val="0"/>
          <w14:ligatures w14:val="none"/>
        </w:rPr>
        <w:t xml:space="preserve"> Island community through quarterly submissions and enables community oversight via a local committee while establishing arbitration rules for contractual enforcement (Six Senses, 2021).</w:t>
      </w:r>
    </w:p>
    <w:p w:rsidR="001B7F74" w:rsidRPr="00021315"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Local employment requirements together with training and career development opportunities are standard components in employment provisions within CBAs. Under their arrangement with Māori communities Treetops Lodge &amp; Estate establishes binding commitments for cultural competency and apprenticeships and managerial development approaches (Treetops Lodge, 2020).</w:t>
      </w:r>
    </w:p>
    <w:p w:rsidR="00186B57" w:rsidRPr="00186B57" w:rsidRDefault="001B7F74" w:rsidP="001B7F74">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Strategic resource provisions ensure the community receives resolutions about their access to water resources and waste operations as well as restrictions on land usage. The Pacuare Lodge throughout Costa Rica has achieved an agreement with </w:t>
      </w:r>
      <w:proofErr w:type="spellStart"/>
      <w:r w:rsidRPr="00021315">
        <w:rPr>
          <w:rFonts w:ascii="Times New Roman" w:eastAsia="Times New Roman" w:hAnsi="Times New Roman" w:cs="Times New Roman"/>
          <w:color w:val="000000"/>
          <w:kern w:val="0"/>
          <w14:ligatures w14:val="none"/>
        </w:rPr>
        <w:t>Cabécar</w:t>
      </w:r>
      <w:proofErr w:type="spellEnd"/>
      <w:r w:rsidRPr="00021315">
        <w:rPr>
          <w:rFonts w:ascii="Times New Roman" w:eastAsia="Times New Roman" w:hAnsi="Times New Roman" w:cs="Times New Roman"/>
          <w:color w:val="000000"/>
          <w:kern w:val="0"/>
          <w14:ligatures w14:val="none"/>
        </w:rPr>
        <w:t xml:space="preserve"> community members to enforce indigenous developed boundaries on river activities in addition to forest entry rules and visitor maximums which exceed local legal mandates (Pacuare Lodge, 2022)</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1B7F74">
      <w:pPr>
        <w:pStyle w:val="Heading2"/>
        <w:rPr>
          <w:rFonts w:ascii="Times New Roman" w:eastAsia="Times New Roman" w:hAnsi="Times New Roman" w:cs="Times New Roman"/>
          <w:b/>
          <w:bCs/>
          <w:sz w:val="24"/>
          <w:szCs w:val="24"/>
        </w:rPr>
      </w:pPr>
      <w:bookmarkStart w:id="12" w:name="_Toc194503871"/>
      <w:r w:rsidRPr="00021315">
        <w:rPr>
          <w:rFonts w:ascii="Times New Roman" w:eastAsia="Times New Roman" w:hAnsi="Times New Roman" w:cs="Times New Roman"/>
          <w:b/>
          <w:bCs/>
          <w:sz w:val="24"/>
          <w:szCs w:val="24"/>
        </w:rPr>
        <w:lastRenderedPageBreak/>
        <w:t>Investor and Operator Legal Relationships</w:t>
      </w:r>
      <w:bookmarkEnd w:id="12"/>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organizational structure of wellness eco-tourism businesses affects both which obligations parties must follow and what kind of financial risks they face. Organizations follow different ownership models such as direct ownership and management contracts and franchise agreements and joint ventures which establish separate compliance requirements as well as risk distribution patterns.</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Under management contracts operators handle operational compliance tasks but the investor remains responsible for ownership liabilities. Organization Six Senses follows its management agreement for Vietnam properties by giving the operator responsibility for environmental compliance inspections while needing owners to fund infrastructure enhancements when audits reveal standard violations (Six Senses, 2021).</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The advantages of forming joint ventures with local partners become clearer in countries which have challenging regulatory systems and laws regarding foreign ownership. Many international wellness operators in Thailand form joint ventures with local partners to bypass Foreign Business Act restrictions while expanding their presence through local expertise under international </w:t>
      </w:r>
      <w:proofErr w:type="gramStart"/>
      <w:r w:rsidRPr="00021315">
        <w:rPr>
          <w:rFonts w:ascii="Times New Roman" w:eastAsia="Times New Roman" w:hAnsi="Times New Roman" w:cs="Times New Roman"/>
          <w:color w:val="000000"/>
          <w:kern w:val="0"/>
          <w14:ligatures w14:val="none"/>
        </w:rPr>
        <w:t>operators</w:t>
      </w:r>
      <w:proofErr w:type="gramEnd"/>
      <w:r w:rsidRPr="00021315">
        <w:rPr>
          <w:rFonts w:ascii="Times New Roman" w:eastAsia="Times New Roman" w:hAnsi="Times New Roman" w:cs="Times New Roman"/>
          <w:color w:val="000000"/>
          <w:kern w:val="0"/>
          <w14:ligatures w14:val="none"/>
        </w:rPr>
        <w:t xml:space="preserve"> standards (Thailand Board of Investment, 2022).</w:t>
      </w:r>
    </w:p>
    <w:p w:rsidR="00186B57" w:rsidRPr="00186B57"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Companies in the wellness industry typically finalize franchise agreements that have stringent environmental standards which surpass governmental restrictions thus creating enforceable additional contractual responsibilities. Every franchise agreement of the Banyan Tree Group contains mandatory requirements for environmental management system setup and regular external audits and minimum sustainability standards which enforce contractual obligations upon their franchisees (Banyan Tree, 2022)</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4C37A0">
      <w:pPr>
        <w:pStyle w:val="Heading2"/>
        <w:rPr>
          <w:rFonts w:ascii="Times New Roman" w:eastAsia="Times New Roman" w:hAnsi="Times New Roman" w:cs="Times New Roman"/>
          <w:b/>
          <w:bCs/>
          <w:sz w:val="24"/>
          <w:szCs w:val="24"/>
        </w:rPr>
      </w:pPr>
      <w:bookmarkStart w:id="13" w:name="_Toc194503872"/>
      <w:r w:rsidRPr="00021315">
        <w:rPr>
          <w:rFonts w:ascii="Times New Roman" w:eastAsia="Times New Roman" w:hAnsi="Times New Roman" w:cs="Times New Roman"/>
          <w:b/>
          <w:bCs/>
          <w:sz w:val="24"/>
          <w:szCs w:val="24"/>
        </w:rPr>
        <w:lastRenderedPageBreak/>
        <w:t>Customer Rights and Responsibilities</w:t>
      </w:r>
      <w:bookmarkEnd w:id="13"/>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Wellness eco-tourism ventures maintain legal customer relations that establish specific contractual compliance requirements about delivering information to clients while ensuring service quality levels and safety standards and forming limitations for their legal liabilities. The laws which govern disclosures and client protection between wellness eco-tourism providers and customers exist in consumer protection acts and contractual terms together with injury-based principles but show clear variation between countries.</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Wellness tourism needs strict requirements for delivering information to customers before contracts due to its tendency to make health promises to customers. By the Consumer Rights Directive of the European Union all providers must detail wellness service characteristics to prevent potential customer representation liability. Canyon Ranch demonstrates optimal practices regarding disclosure requirements by providing extensive pre-arrival information to customers (Canyon Ranch, 2022).</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The enforceability of wellness activity liability waivers differs between different legal jurisdictions throughout the country. Most U.S. courts validate correctly written recreational activity waivers yet several European jurisdictions restrict personal injury waivers from becoming enforceable. The case of Thwaites v. </w:t>
      </w:r>
      <w:proofErr w:type="spellStart"/>
      <w:r w:rsidRPr="00021315">
        <w:rPr>
          <w:rFonts w:ascii="Times New Roman" w:eastAsia="Times New Roman" w:hAnsi="Times New Roman" w:cs="Times New Roman"/>
          <w:color w:val="000000"/>
          <w:kern w:val="0"/>
          <w14:ligatures w14:val="none"/>
        </w:rPr>
        <w:t>Avalonbay</w:t>
      </w:r>
      <w:proofErr w:type="spellEnd"/>
      <w:r w:rsidRPr="00021315">
        <w:rPr>
          <w:rFonts w:ascii="Times New Roman" w:eastAsia="Times New Roman" w:hAnsi="Times New Roman" w:cs="Times New Roman"/>
          <w:color w:val="000000"/>
          <w:kern w:val="0"/>
          <w14:ligatures w14:val="none"/>
        </w:rPr>
        <w:t xml:space="preserve"> Communities, Inc. provides evidence (2018) that proves effective activity waivers need to specify inherent risks alongside clear standards for acceptable care.</w:t>
      </w:r>
    </w:p>
    <w:p w:rsidR="00186B57" w:rsidRPr="00186B57"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Health information privacy mandates wellness providers to follow additional rules when they collect private personal data from their users. European clients requiring wellness services must receive distinct permission for data processing according to GDPR guidelines along with comprehensive protection measures for their health information. The </w:t>
      </w:r>
      <w:proofErr w:type="spellStart"/>
      <w:r w:rsidRPr="00021315">
        <w:rPr>
          <w:rFonts w:ascii="Times New Roman" w:eastAsia="Times New Roman" w:hAnsi="Times New Roman" w:cs="Times New Roman"/>
          <w:color w:val="000000"/>
          <w:kern w:val="0"/>
          <w14:ligatures w14:val="none"/>
        </w:rPr>
        <w:t>Kamalaya</w:t>
      </w:r>
      <w:proofErr w:type="spellEnd"/>
      <w:r w:rsidRPr="00021315">
        <w:rPr>
          <w:rFonts w:ascii="Times New Roman" w:eastAsia="Times New Roman" w:hAnsi="Times New Roman" w:cs="Times New Roman"/>
          <w:color w:val="000000"/>
          <w:kern w:val="0"/>
          <w14:ligatures w14:val="none"/>
        </w:rPr>
        <w:t xml:space="preserve"> Wellness Sanctuary demonstrates how managing dual EU and non-EU guest requirements becomes challenging when providing services internationally (</w:t>
      </w:r>
      <w:proofErr w:type="spellStart"/>
      <w:r w:rsidRPr="00021315">
        <w:rPr>
          <w:rFonts w:ascii="Times New Roman" w:eastAsia="Times New Roman" w:hAnsi="Times New Roman" w:cs="Times New Roman"/>
          <w:color w:val="000000"/>
          <w:kern w:val="0"/>
          <w14:ligatures w14:val="none"/>
        </w:rPr>
        <w:t>Kamalaya</w:t>
      </w:r>
      <w:proofErr w:type="spellEnd"/>
      <w:r w:rsidRPr="00021315">
        <w:rPr>
          <w:rFonts w:ascii="Times New Roman" w:eastAsia="Times New Roman" w:hAnsi="Times New Roman" w:cs="Times New Roman"/>
          <w:color w:val="000000"/>
          <w:kern w:val="0"/>
          <w14:ligatures w14:val="none"/>
        </w:rPr>
        <w:t>, 2021)</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021315" w:rsidRDefault="00186B57" w:rsidP="004C37A0">
      <w:pPr>
        <w:pStyle w:val="Heading1"/>
        <w:rPr>
          <w:rFonts w:ascii="Times New Roman" w:eastAsia="Times New Roman" w:hAnsi="Times New Roman" w:cs="Times New Roman"/>
          <w:b/>
          <w:bCs/>
        </w:rPr>
      </w:pPr>
      <w:bookmarkStart w:id="14" w:name="_Toc194503873"/>
      <w:r w:rsidRPr="00021315">
        <w:rPr>
          <w:rFonts w:ascii="Times New Roman" w:eastAsia="Times New Roman" w:hAnsi="Times New Roman" w:cs="Times New Roman"/>
          <w:b/>
          <w:bCs/>
        </w:rPr>
        <w:lastRenderedPageBreak/>
        <w:t>5. Sustainable Practices: Legal Implementation</w:t>
      </w:r>
      <w:bookmarkEnd w:id="14"/>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4C37A0">
      <w:pPr>
        <w:pStyle w:val="Heading2"/>
        <w:rPr>
          <w:rFonts w:ascii="Times New Roman" w:eastAsia="Times New Roman" w:hAnsi="Times New Roman" w:cs="Times New Roman"/>
          <w:b/>
          <w:bCs/>
          <w:sz w:val="24"/>
          <w:szCs w:val="24"/>
        </w:rPr>
      </w:pPr>
      <w:bookmarkStart w:id="15" w:name="_Toc194503874"/>
      <w:r w:rsidRPr="00021315">
        <w:rPr>
          <w:rFonts w:ascii="Times New Roman" w:eastAsia="Times New Roman" w:hAnsi="Times New Roman" w:cs="Times New Roman"/>
          <w:b/>
          <w:bCs/>
          <w:sz w:val="24"/>
          <w:szCs w:val="24"/>
        </w:rPr>
        <w:t>Environmental Impact Assessment Requirements</w:t>
      </w:r>
      <w:bookmarkEnd w:id="15"/>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Environmental Impact Assessment (EIA) demands establish official methods to uncover and estimate and combat negative environmental impacts that must be handled before a project obtains approval. Wellness eco-tourism operations must complete Environmental Impact Assessments that analyze facility constructions together with operational procedures and total ecosystem impacts of surrounding areas.</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requirements for scoping differ between jurisdictions with elements like biodiversity impacts together with water resource effects and waste management and energy use and cultural heritage assessment. The Resource Management Act of New Zealand demands extensive assessments involving Māori cultural value impacts in addition to their relationships with their ancestral possessions. The Aro Ha Wellness Resort presented its plans to regulatory bodies at an early stage to establish evaluation boundaries that minimized regulatory expenses according to Aro Ha data (Aro Ha, 2020).</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Alternative analysis requirements in urban development make developers explore different project designs and locations and operational methods as means to reduce environmental effects. Environmental Secretariat (SETENA) of Costa Rica demands three distinct project alternatives to be assessed formally when considering eco-tourism development approvals. Nayara Springs provides an example showing how mandatory alternatives analysis leads developers to innovate designs and operational frameworks (Nayara Springs, 2021).</w:t>
      </w:r>
    </w:p>
    <w:p w:rsidR="00186B57" w:rsidRPr="00186B57"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Legal frameworks identified through mitigation hierarchies demand project developers to first choose impact avoidance then move toward impact minimization and restoration and offsetting as secondary approaches</w:t>
      </w:r>
      <w:r w:rsidR="00186B57" w:rsidRPr="00186B57">
        <w:rPr>
          <w:rFonts w:ascii="Times New Roman" w:eastAsia="Times New Roman" w:hAnsi="Times New Roman" w:cs="Times New Roman"/>
          <w:color w:val="000000"/>
          <w:kern w:val="0"/>
          <w14:ligatures w14:val="none"/>
        </w:rPr>
        <w:t xml:space="preserve">. Australia's Environmental Offsets Policy creates specific requirements for compensatory measures when impacts cannot be completely avoided or mitigated. The Emirates </w:t>
      </w:r>
      <w:proofErr w:type="spellStart"/>
      <w:r w:rsidR="00186B57" w:rsidRPr="00186B57">
        <w:rPr>
          <w:rFonts w:ascii="Times New Roman" w:eastAsia="Times New Roman" w:hAnsi="Times New Roman" w:cs="Times New Roman"/>
          <w:color w:val="000000"/>
          <w:kern w:val="0"/>
          <w14:ligatures w14:val="none"/>
        </w:rPr>
        <w:t>One&amp;Only</w:t>
      </w:r>
      <w:proofErr w:type="spellEnd"/>
      <w:r w:rsidR="00186B57" w:rsidRPr="00186B57">
        <w:rPr>
          <w:rFonts w:ascii="Times New Roman" w:eastAsia="Times New Roman" w:hAnsi="Times New Roman" w:cs="Times New Roman"/>
          <w:color w:val="000000"/>
          <w:kern w:val="0"/>
          <w14:ligatures w14:val="none"/>
        </w:rPr>
        <w:t xml:space="preserve"> Wolgan Valley conservation program demonstrates effective implementation of this hierarchy through habitat restoration that exceeded regulatory requirements (Emirates </w:t>
      </w:r>
      <w:proofErr w:type="spellStart"/>
      <w:r w:rsidR="00186B57" w:rsidRPr="00186B57">
        <w:rPr>
          <w:rFonts w:ascii="Times New Roman" w:eastAsia="Times New Roman" w:hAnsi="Times New Roman" w:cs="Times New Roman"/>
          <w:color w:val="000000"/>
          <w:kern w:val="0"/>
          <w14:ligatures w14:val="none"/>
        </w:rPr>
        <w:t>One&amp;Only</w:t>
      </w:r>
      <w:proofErr w:type="spellEnd"/>
      <w:r w:rsidR="00186B57" w:rsidRPr="00186B57">
        <w:rPr>
          <w:rFonts w:ascii="Times New Roman" w:eastAsia="Times New Roman" w:hAnsi="Times New Roman" w:cs="Times New Roman"/>
          <w:color w:val="000000"/>
          <w:kern w:val="0"/>
          <w14:ligatures w14:val="none"/>
        </w:rPr>
        <w:t>, 2019).</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4C37A0">
      <w:pPr>
        <w:pStyle w:val="Heading2"/>
        <w:rPr>
          <w:rFonts w:ascii="Times New Roman" w:eastAsia="Times New Roman" w:hAnsi="Times New Roman" w:cs="Times New Roman"/>
          <w:b/>
          <w:bCs/>
          <w:sz w:val="24"/>
          <w:szCs w:val="24"/>
        </w:rPr>
      </w:pPr>
      <w:bookmarkStart w:id="16" w:name="_Toc194503875"/>
      <w:r w:rsidRPr="00021315">
        <w:rPr>
          <w:rFonts w:ascii="Times New Roman" w:eastAsia="Times New Roman" w:hAnsi="Times New Roman" w:cs="Times New Roman"/>
          <w:b/>
          <w:bCs/>
          <w:sz w:val="24"/>
          <w:szCs w:val="24"/>
        </w:rPr>
        <w:lastRenderedPageBreak/>
        <w:t>Resource Management and Conservation Compliance</w:t>
      </w:r>
      <w:bookmarkEnd w:id="16"/>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Water management presents particular compliance challenges for wellness facilities, which typically use significant water volumes for therapeutic purposes. Water extraction permits, treatment requirements, and discharge limitations create operational constraints that must be addressed through facility design and management systems.</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 xml:space="preserve">Water extraction regulations vary from simple permitting to complex allocation systems based on historical usage, prioritization schemes, or market mechanisms. Thailand's Water Resource Act established a prioritization system that places tourism uses below agricultural and community needs, creating supply uncertainty that must be addressed through storage systems and contingency planning. The </w:t>
      </w:r>
      <w:proofErr w:type="spellStart"/>
      <w:r w:rsidRPr="00186B57">
        <w:rPr>
          <w:rFonts w:ascii="Times New Roman" w:eastAsia="Times New Roman" w:hAnsi="Times New Roman" w:cs="Times New Roman"/>
          <w:color w:val="000000"/>
          <w:kern w:val="0"/>
          <w14:ligatures w14:val="none"/>
        </w:rPr>
        <w:t>Kamalaya</w:t>
      </w:r>
      <w:proofErr w:type="spellEnd"/>
      <w:r w:rsidRPr="00186B57">
        <w:rPr>
          <w:rFonts w:ascii="Times New Roman" w:eastAsia="Times New Roman" w:hAnsi="Times New Roman" w:cs="Times New Roman"/>
          <w:color w:val="000000"/>
          <w:kern w:val="0"/>
          <w14:ligatures w14:val="none"/>
        </w:rPr>
        <w:t xml:space="preserve"> Wellness Sanctuary's rainwater harvesting system illustrates how compliance can be achieved while reducing dependency on regulated water sources (</w:t>
      </w:r>
      <w:proofErr w:type="spellStart"/>
      <w:r w:rsidRPr="00186B57">
        <w:rPr>
          <w:rFonts w:ascii="Times New Roman" w:eastAsia="Times New Roman" w:hAnsi="Times New Roman" w:cs="Times New Roman"/>
          <w:color w:val="000000"/>
          <w:kern w:val="0"/>
          <w14:ligatures w14:val="none"/>
        </w:rPr>
        <w:t>Kamalaya</w:t>
      </w:r>
      <w:proofErr w:type="spellEnd"/>
      <w:r w:rsidRPr="00186B57">
        <w:rPr>
          <w:rFonts w:ascii="Times New Roman" w:eastAsia="Times New Roman" w:hAnsi="Times New Roman" w:cs="Times New Roman"/>
          <w:color w:val="000000"/>
          <w:kern w:val="0"/>
          <w14:ligatures w14:val="none"/>
        </w:rPr>
        <w:t>, 2021).</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Wastewater management requirements typically address both quality and disposal methods, with specific standards for contaminants of concern. The European Union's Urban Waste Water Treatment Directive establishes particularly stringent requirements for facilities in environmentally sensitive areas. Six Senses Douro Valley's botanical filtration system demonstrates innovative compliance through natural treatment processes that create additional wellness amenities while meeting regulatory standards (Six Senses, 2021).</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r w:rsidRPr="00186B57">
        <w:rPr>
          <w:rFonts w:ascii="Times New Roman" w:eastAsia="Times New Roman" w:hAnsi="Times New Roman" w:cs="Times New Roman"/>
          <w:color w:val="000000"/>
          <w:kern w:val="0"/>
          <w14:ligatures w14:val="none"/>
        </w:rPr>
        <w:t xml:space="preserve">Energy efficiency and renewable energy requirements increasingly affect wellness facility operations through building codes, operational standards, and carbon reduction mandates. </w:t>
      </w:r>
      <w:r w:rsidR="004C37A0" w:rsidRPr="00021315">
        <w:rPr>
          <w:rFonts w:ascii="Times New Roman" w:eastAsia="Times New Roman" w:hAnsi="Times New Roman" w:cs="Times New Roman"/>
          <w:color w:val="000000"/>
          <w:kern w:val="0"/>
          <w14:ligatures w14:val="none"/>
        </w:rPr>
        <w:t xml:space="preserve">California's Title 24 standards create rigorous energy efficiency requirements which modify both architectural development and facility running expenses worldwide. At the Post Ranch </w:t>
      </w:r>
      <w:proofErr w:type="gramStart"/>
      <w:r w:rsidR="004C37A0" w:rsidRPr="00021315">
        <w:rPr>
          <w:rFonts w:ascii="Times New Roman" w:eastAsia="Times New Roman" w:hAnsi="Times New Roman" w:cs="Times New Roman"/>
          <w:color w:val="000000"/>
          <w:kern w:val="0"/>
          <w14:ligatures w14:val="none"/>
        </w:rPr>
        <w:t>Inn</w:t>
      </w:r>
      <w:proofErr w:type="gramEnd"/>
      <w:r w:rsidR="004C37A0" w:rsidRPr="00021315">
        <w:rPr>
          <w:rFonts w:ascii="Times New Roman" w:eastAsia="Times New Roman" w:hAnsi="Times New Roman" w:cs="Times New Roman"/>
          <w:color w:val="000000"/>
          <w:kern w:val="0"/>
          <w14:ligatures w14:val="none"/>
        </w:rPr>
        <w:t xml:space="preserve"> the adoption of integrated renewable energy services demonstrates how following regulations results in better guest comfort in addition to lowering business costs (Post Ranch Inn, 2020)</w:t>
      </w:r>
      <w:r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4C37A0">
      <w:pPr>
        <w:pStyle w:val="Heading2"/>
        <w:rPr>
          <w:rFonts w:ascii="Times New Roman" w:eastAsia="Times New Roman" w:hAnsi="Times New Roman" w:cs="Times New Roman"/>
          <w:b/>
          <w:bCs/>
          <w:sz w:val="24"/>
          <w:szCs w:val="24"/>
        </w:rPr>
      </w:pPr>
      <w:bookmarkStart w:id="17" w:name="_Toc194503876"/>
      <w:r w:rsidRPr="00021315">
        <w:rPr>
          <w:rFonts w:ascii="Times New Roman" w:eastAsia="Times New Roman" w:hAnsi="Times New Roman" w:cs="Times New Roman"/>
          <w:b/>
          <w:bCs/>
          <w:sz w:val="24"/>
          <w:szCs w:val="24"/>
        </w:rPr>
        <w:lastRenderedPageBreak/>
        <w:t>Certification Standards and Legal Recognition</w:t>
      </w:r>
      <w:bookmarkEnd w:id="17"/>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legal status of voluntary certification programs now gains strength through at least three forms of regulatory support including incentives, permitting advantages and marketing privileges. The certification programs implement added compliance thresholds above official regulations which also serve to enhance operational distinction for participating entities.</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Global Sustainable Tourism Council (GSTC) Criteria now have official recognition within multiple national tourism policies of Ecuador Indonesia and Norway. The documentation of GSTC certification demonstrates adherence to worldwide standards which facilitates authorized permissions as well as proves environmental management excellence (GSTC, 2022).</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Specific industry credentials focus on compliance needs that pertain to wellness operations. The Green Spa Network certification targets spa operations sustainability by setting minimum standards that surpass community sustainability standards in most regions regarding water conservation and waste management and product procurement requirements. The Green Spa Network program certification confirms that Canyon Ranch upholds the highest industry standards above standard legal prerequisites (Green Spa Network, 2022).</w:t>
      </w:r>
    </w:p>
    <w:p w:rsidR="00186B57" w:rsidRPr="00186B57"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National certification programs gain official legal validation through either regulatory favorable choices or marketing approval from governing bodies. The Certificate for Sustainable Tourism operated by Costa Rica grants its certified operators both favorable conditions during permit applications and tax benefits together with unique promotional advantages from the national tourism promotion agency. The five-leaf Certificate for Sustainable Tourism certification granted to the Harmony Hotel demonstrates voluntary standards that lead to practical business rewards while promoting total regulatory compliance (Instituto </w:t>
      </w:r>
      <w:proofErr w:type="spellStart"/>
      <w:r w:rsidRPr="00021315">
        <w:rPr>
          <w:rFonts w:ascii="Times New Roman" w:eastAsia="Times New Roman" w:hAnsi="Times New Roman" w:cs="Times New Roman"/>
          <w:color w:val="000000"/>
          <w:kern w:val="0"/>
          <w14:ligatures w14:val="none"/>
        </w:rPr>
        <w:t>Costarricense</w:t>
      </w:r>
      <w:proofErr w:type="spellEnd"/>
      <w:r w:rsidRPr="00021315">
        <w:rPr>
          <w:rFonts w:ascii="Times New Roman" w:eastAsia="Times New Roman" w:hAnsi="Times New Roman" w:cs="Times New Roman"/>
          <w:color w:val="000000"/>
          <w:kern w:val="0"/>
          <w14:ligatures w14:val="none"/>
        </w:rPr>
        <w:t xml:space="preserve"> de Turismo, 2022)</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4C37A0">
      <w:pPr>
        <w:pStyle w:val="Heading2"/>
        <w:rPr>
          <w:rFonts w:ascii="Times New Roman" w:eastAsia="Times New Roman" w:hAnsi="Times New Roman" w:cs="Times New Roman"/>
          <w:b/>
          <w:bCs/>
          <w:sz w:val="24"/>
          <w:szCs w:val="24"/>
        </w:rPr>
      </w:pPr>
      <w:bookmarkStart w:id="18" w:name="_Toc194503877"/>
      <w:r w:rsidRPr="00021315">
        <w:rPr>
          <w:rFonts w:ascii="Times New Roman" w:eastAsia="Times New Roman" w:hAnsi="Times New Roman" w:cs="Times New Roman"/>
          <w:b/>
          <w:bCs/>
          <w:sz w:val="24"/>
          <w:szCs w:val="24"/>
        </w:rPr>
        <w:lastRenderedPageBreak/>
        <w:t>Monitoring and Reporting Obligations</w:t>
      </w:r>
      <w:bookmarkEnd w:id="18"/>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Health tourism operators need to maintain continuous compliance through reporting duties that persist throughout the lifetime of their business activities. The compliance requirements stem from permit conditions combined with environmental management systems as well as certification maintenance standards.</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Permit-based monitoring systems concentrate their evaluation on monitoring particular environmental elements of water quality and energy consumption alongside waste generation and habitat changes. Permit conditions outline reporting requirements that include specified frequency and methods which generate legal obligations that enforce penalties against non-compliant actors. The New Zealand Ministry for the Environment (2022) shows that resource consent system uses individualized monitoring standards that result from site-focused impact analysis.</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EMS standards especially ISO 14001 establish standard procedures which help organizations track compliance and improve their processes continuously. EMS certification has become voluntary however it now plays a major role in maintaining regulatory connections as well as determining stakeholder expectations. Six Senses achieves corporate-wide compliance through its implementation of ISO 14001 across properties by using standardized monitoring systems (Six Senses, 2021).</w:t>
      </w:r>
    </w:p>
    <w:p w:rsidR="00186B57" w:rsidRPr="00186B57"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Through the Global Reporting Initiative (GRI) Standards along with other sustainability frameworks organizations get access to complete guidelines for disclosing their environmental and social performance results. The majority of sustainability standards exist voluntarily but investors now incorporate them into their agreements which transforms them into mandatory contractual measures. The sustainable reporting at Banyan Tree shows exemplary transparency which meets regulatory standards as well as provides necessary information for stakeholders (Banyan Tree, 2022)</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021315" w:rsidRDefault="00186B57" w:rsidP="004C37A0">
      <w:pPr>
        <w:pStyle w:val="Heading1"/>
        <w:rPr>
          <w:rFonts w:ascii="Times New Roman" w:eastAsia="Times New Roman" w:hAnsi="Times New Roman" w:cs="Times New Roman"/>
          <w:b/>
          <w:bCs/>
        </w:rPr>
      </w:pPr>
      <w:bookmarkStart w:id="19" w:name="_Toc194503878"/>
      <w:r w:rsidRPr="00021315">
        <w:rPr>
          <w:rFonts w:ascii="Times New Roman" w:eastAsia="Times New Roman" w:hAnsi="Times New Roman" w:cs="Times New Roman"/>
          <w:b/>
          <w:bCs/>
        </w:rPr>
        <w:lastRenderedPageBreak/>
        <w:t>6. Case Studies in Wellness Eco-Tourism Compliance</w:t>
      </w:r>
      <w:bookmarkEnd w:id="19"/>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4C37A0">
      <w:pPr>
        <w:pStyle w:val="Heading2"/>
        <w:rPr>
          <w:rFonts w:ascii="Times New Roman" w:eastAsia="Times New Roman" w:hAnsi="Times New Roman" w:cs="Times New Roman"/>
          <w:b/>
          <w:bCs/>
          <w:sz w:val="24"/>
          <w:szCs w:val="24"/>
        </w:rPr>
      </w:pPr>
      <w:bookmarkStart w:id="20" w:name="_Toc194503879"/>
      <w:r w:rsidRPr="00021315">
        <w:rPr>
          <w:rFonts w:ascii="Times New Roman" w:eastAsia="Times New Roman" w:hAnsi="Times New Roman" w:cs="Times New Roman"/>
          <w:b/>
          <w:bCs/>
          <w:sz w:val="24"/>
          <w:szCs w:val="24"/>
        </w:rPr>
        <w:t>Six Senses Resorts: Integrated Compliance Approach</w:t>
      </w:r>
      <w:bookmarkEnd w:id="20"/>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integrated compliance framework of Six Senses Resorts brings together standard environmental management systems which fulfill different regulatory needs by adjusting to local laws. Their compliance strategy uses corporate sustainability measures higher than regulations but also incorporates local regulation-based programs.</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environmental regulations of Thailand are managed effectively at Six Senses Yao Noi through their detailed sustainability system that covers site design along with operational practices and community involvement. Key compliance elements include:</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p>
    <w:p w:rsidR="004C37A0" w:rsidRPr="00021315" w:rsidRDefault="004C37A0" w:rsidP="004C37A0">
      <w:pPr>
        <w:pStyle w:val="ListParagraph"/>
        <w:numPr>
          <w:ilvl w:val="1"/>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establishment implements a water management system which surpasses Royal Thai Government requirements for water extraction and treatment before recycling remains in the site.</w:t>
      </w:r>
    </w:p>
    <w:p w:rsidR="004C37A0" w:rsidRPr="00021315" w:rsidRDefault="004C37A0" w:rsidP="004C37A0">
      <w:pPr>
        <w:pStyle w:val="ListParagraph"/>
        <w:numPr>
          <w:ilvl w:val="1"/>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facility operated a waste reduction initiative to eliminate its landfill operations through advanced waste sorting technologies as well as composting solutions and recycling methods.</w:t>
      </w:r>
    </w:p>
    <w:p w:rsidR="004C37A0" w:rsidRPr="00021315" w:rsidRDefault="004C37A0" w:rsidP="004C37A0">
      <w:pPr>
        <w:pStyle w:val="ListParagraph"/>
        <w:numPr>
          <w:ilvl w:val="1"/>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We host a community benefit agreement with nearby fishers which brings sustainable seafood standards and local positions into effect</w:t>
      </w:r>
    </w:p>
    <w:p w:rsidR="004C37A0" w:rsidRPr="00021315" w:rsidRDefault="004C37A0" w:rsidP="004C37A0">
      <w:pPr>
        <w:pStyle w:val="ListParagraph"/>
        <w:numPr>
          <w:ilvl w:val="1"/>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Cultural preservation initiatives that received formal recognition from Thailand's Ministry of Culture for authentic representation of local traditions (Six Senses, 2021)</w:t>
      </w:r>
    </w:p>
    <w:p w:rsidR="00186B57" w:rsidRPr="00186B57"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Development of the project faced legal hurdles because of divergent interpretations of setback guidelines stated in Thailand's Marine and Coastal Resources Management Act. The resort achieved success by engaging regulatory authorities early and reworking facilities to meet and surpass the minimum requirements thus creating a new model for coastal development in the area (Department of Marine and Coastal Resources, Thailand, 2020</w:t>
      </w:r>
      <w:proofErr w:type="gramStart"/>
      <w:r w:rsidRPr="00021315">
        <w:rPr>
          <w:rFonts w:ascii="Times New Roman" w:eastAsia="Times New Roman" w:hAnsi="Times New Roman" w:cs="Times New Roman"/>
          <w:color w:val="000000"/>
          <w:kern w:val="0"/>
          <w14:ligatures w14:val="none"/>
        </w:rPr>
        <w:t>).</w:t>
      </w:r>
      <w:r w:rsidR="00186B57" w:rsidRPr="00186B57">
        <w:rPr>
          <w:rFonts w:ascii="Times New Roman" w:eastAsia="Times New Roman" w:hAnsi="Times New Roman" w:cs="Times New Roman"/>
          <w:color w:val="000000"/>
          <w:kern w:val="0"/>
          <w14:ligatures w14:val="none"/>
        </w:rPr>
        <w:t>.</w:t>
      </w:r>
      <w:proofErr w:type="gramEnd"/>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4C37A0">
      <w:pPr>
        <w:pStyle w:val="Heading2"/>
        <w:rPr>
          <w:rFonts w:ascii="Times New Roman" w:eastAsia="Times New Roman" w:hAnsi="Times New Roman" w:cs="Times New Roman"/>
          <w:b/>
          <w:bCs/>
          <w:sz w:val="24"/>
          <w:szCs w:val="24"/>
        </w:rPr>
      </w:pPr>
      <w:bookmarkStart w:id="21" w:name="_Toc194503880"/>
      <w:r w:rsidRPr="00021315">
        <w:rPr>
          <w:rFonts w:ascii="Times New Roman" w:eastAsia="Times New Roman" w:hAnsi="Times New Roman" w:cs="Times New Roman"/>
          <w:b/>
          <w:bCs/>
          <w:sz w:val="24"/>
          <w:szCs w:val="24"/>
        </w:rPr>
        <w:lastRenderedPageBreak/>
        <w:t>Banyan Tree: Indigenous Engagement Legal Framework</w:t>
      </w:r>
      <w:bookmarkEnd w:id="21"/>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Banyan Tree Hotels &amp; Resorts creates a detailed legal approach for indigenous contact which ensures both consultation standards and protection of intellectual property alongside benefits distribution rights. The framework enables uniform protocol across different areas yet it recognizes separate guidelines that pertain to indigenous rights within specific locations.</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The Banyan Tree </w:t>
      </w:r>
      <w:proofErr w:type="spellStart"/>
      <w:r w:rsidRPr="00021315">
        <w:rPr>
          <w:rFonts w:ascii="Times New Roman" w:eastAsia="Times New Roman" w:hAnsi="Times New Roman" w:cs="Times New Roman"/>
          <w:color w:val="000000"/>
          <w:kern w:val="0"/>
          <w14:ligatures w14:val="none"/>
        </w:rPr>
        <w:t>Ringha</w:t>
      </w:r>
      <w:proofErr w:type="spellEnd"/>
      <w:r w:rsidRPr="00021315">
        <w:rPr>
          <w:rFonts w:ascii="Times New Roman" w:eastAsia="Times New Roman" w:hAnsi="Times New Roman" w:cs="Times New Roman"/>
          <w:color w:val="000000"/>
          <w:kern w:val="0"/>
          <w14:ligatures w14:val="none"/>
        </w:rPr>
        <w:t xml:space="preserve"> hotel in China operates effectively under this framework to fulfill requirements in the challenging Yunnan Province regulatory context. The resort situated in an area rich with Tibetan culture developed official documents to work with local communities regarding:</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p>
    <w:p w:rsidR="004C37A0" w:rsidRPr="00021315" w:rsidRDefault="004C37A0" w:rsidP="004C37A0">
      <w:pPr>
        <w:pStyle w:val="ListParagraph"/>
        <w:numPr>
          <w:ilvl w:val="1"/>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Traditional land access rights get protection through operational boundary definition in established land use arrangements</w:t>
      </w:r>
    </w:p>
    <w:p w:rsidR="004C37A0" w:rsidRPr="00021315" w:rsidRDefault="004C37A0" w:rsidP="004C37A0">
      <w:pPr>
        <w:pStyle w:val="ListParagraph"/>
        <w:numPr>
          <w:ilvl w:val="1"/>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spa industry obtains licenses from traditional cultures to utilize their wellness practices within their spa services.</w:t>
      </w:r>
    </w:p>
    <w:p w:rsidR="004C37A0" w:rsidRPr="00021315" w:rsidRDefault="004C37A0" w:rsidP="004C37A0">
      <w:pPr>
        <w:pStyle w:val="ListParagraph"/>
        <w:numPr>
          <w:ilvl w:val="1"/>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company exceeds all employment responsibilities and training duties beyond local administrative standards.</w:t>
      </w:r>
    </w:p>
    <w:p w:rsidR="004C37A0" w:rsidRPr="00021315" w:rsidRDefault="004C37A0" w:rsidP="004C37A0">
      <w:pPr>
        <w:pStyle w:val="ListParagraph"/>
        <w:numPr>
          <w:ilvl w:val="1"/>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revenue-sharing system applies to cultural experiences and traditional knowledge utility (Banyan Tree, 2022).</w:t>
      </w:r>
    </w:p>
    <w:p w:rsidR="00186B57" w:rsidRPr="00186B57"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resort encountered legal problems due to the unclear interpretation of China's Regulations on Protection of Traditional Knowledge about commercial practices. The resort solved these issues by creating formal licensing agreements with established cultural authorities and establishing a community foundation for equal benefit distribution (State Intellectual Property Office of China, 2019).</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4C37A0">
      <w:pPr>
        <w:pStyle w:val="Heading2"/>
        <w:rPr>
          <w:rFonts w:ascii="Times New Roman" w:eastAsia="Times New Roman" w:hAnsi="Times New Roman" w:cs="Times New Roman"/>
          <w:b/>
          <w:bCs/>
          <w:sz w:val="24"/>
          <w:szCs w:val="24"/>
        </w:rPr>
      </w:pPr>
      <w:bookmarkStart w:id="22" w:name="_Toc194503881"/>
      <w:r w:rsidRPr="00021315">
        <w:rPr>
          <w:rFonts w:ascii="Times New Roman" w:eastAsia="Times New Roman" w:hAnsi="Times New Roman" w:cs="Times New Roman"/>
          <w:b/>
          <w:bCs/>
          <w:sz w:val="24"/>
          <w:szCs w:val="24"/>
        </w:rPr>
        <w:lastRenderedPageBreak/>
        <w:t>Canyon Ranch: Navigating Multi-jurisdictional Regulations</w:t>
      </w:r>
      <w:bookmarkEnd w:id="22"/>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wellness destinations operated by Canyon Ranch which extend from U.S. states to international locations present difficulties for maintaining regulatory compliance because different jurisdictions have varying requirements. The company operates a complex compliance management system which operates as both a standard maintenance system while also handling regulations from different areas.</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Massachusetts state environmental regulations restrict the Canyon Ranch Lenox (Massachusetts) property but it follows the companywide operational standards across its other locations with success. Key compliance elements include:</w:t>
      </w:r>
    </w:p>
    <w:p w:rsidR="004C37A0" w:rsidRPr="00021315" w:rsidRDefault="004C37A0" w:rsidP="004C37A0">
      <w:pPr>
        <w:pStyle w:val="ListParagraph"/>
        <w:numPr>
          <w:ilvl w:val="1"/>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property conducted an environmental effect assessment which exceeded the Massachusetts Environmental Policy Act's requirements because it voluntarily extended its research boundaries.</w:t>
      </w:r>
    </w:p>
    <w:p w:rsidR="004C37A0" w:rsidRPr="00021315" w:rsidRDefault="004C37A0" w:rsidP="004C37A0">
      <w:pPr>
        <w:pStyle w:val="ListParagraph"/>
        <w:numPr>
          <w:ilvl w:val="1"/>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spa facilities at this location operate under a water conservation system which fulfills state requirements by using a closed-loop design system.</w:t>
      </w:r>
    </w:p>
    <w:p w:rsidR="004C37A0" w:rsidRPr="00021315" w:rsidRDefault="004C37A0" w:rsidP="004C37A0">
      <w:pPr>
        <w:pStyle w:val="ListParagraph"/>
        <w:numPr>
          <w:ilvl w:val="1"/>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facility operates an energy management system which exceeds Massachusetts' top efficiency criteria by making enhancements to the building shell as well as integrating renewable energy sources</w:t>
      </w:r>
    </w:p>
    <w:p w:rsidR="004C37A0" w:rsidRPr="00021315" w:rsidRDefault="004C37A0" w:rsidP="004C37A0">
      <w:pPr>
        <w:pStyle w:val="ListParagraph"/>
        <w:numPr>
          <w:ilvl w:val="1"/>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licensing of health services provides a solution to address the Massachusetts Department of Health's multiple regulations for wellness services by establishing proper boundaries of practice (Canyon Ranch, 2022).</w:t>
      </w:r>
    </w:p>
    <w:p w:rsidR="00186B57" w:rsidRPr="00186B57"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property faced legal obstacles while interpreting the complementary and alternative medicine practitioner licensing specifications under Massachusetts law. A tiered service system was developed to distinguish between general wellness activities and therapeutic procedures that need qualified practitioner qualifications (Massachusetts Department of Public Health, 2020)</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186B57" w:rsidRDefault="00186B57" w:rsidP="004C37A0">
      <w:pPr>
        <w:pStyle w:val="Heading2"/>
        <w:rPr>
          <w:rFonts w:ascii="Times New Roman" w:eastAsia="Times New Roman" w:hAnsi="Times New Roman" w:cs="Times New Roman"/>
          <w:b/>
          <w:bCs/>
          <w:sz w:val="24"/>
          <w:szCs w:val="24"/>
        </w:rPr>
      </w:pPr>
      <w:bookmarkStart w:id="23" w:name="_Toc194503882"/>
      <w:r w:rsidRPr="00021315">
        <w:rPr>
          <w:rFonts w:ascii="Times New Roman" w:eastAsia="Times New Roman" w:hAnsi="Times New Roman" w:cs="Times New Roman"/>
          <w:b/>
          <w:bCs/>
          <w:sz w:val="24"/>
          <w:szCs w:val="24"/>
        </w:rPr>
        <w:lastRenderedPageBreak/>
        <w:t>Challenges and Litigation Lessons</w:t>
      </w:r>
      <w:bookmarkEnd w:id="23"/>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Multiple legal proceedings offer vital information about compliance standards that wellness eco-tourism operators need to follow. The case of Whitehorse v. When wellness operators incorporate traditional practices into their </w:t>
      </w:r>
      <w:proofErr w:type="gramStart"/>
      <w:r w:rsidRPr="00021315">
        <w:rPr>
          <w:rFonts w:ascii="Times New Roman" w:eastAsia="Times New Roman" w:hAnsi="Times New Roman" w:cs="Times New Roman"/>
          <w:color w:val="000000"/>
          <w:kern w:val="0"/>
          <w14:ligatures w14:val="none"/>
        </w:rPr>
        <w:t>services</w:t>
      </w:r>
      <w:proofErr w:type="gramEnd"/>
      <w:r w:rsidRPr="00021315">
        <w:rPr>
          <w:rFonts w:ascii="Times New Roman" w:eastAsia="Times New Roman" w:hAnsi="Times New Roman" w:cs="Times New Roman"/>
          <w:color w:val="000000"/>
          <w:kern w:val="0"/>
          <w14:ligatures w14:val="none"/>
        </w:rPr>
        <w:t xml:space="preserve"> they become exposed to liability risks since unauthorized commercial use of indigenous healing traditions is considered actionable appropriation of cultural intellectual property (Oliver 1994).</w:t>
      </w:r>
    </w:p>
    <w:p w:rsidR="004C37A0" w:rsidRPr="00021315"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New Zealand Environment Court's decision in Wakatipu Environmental Society v. According to Queenstown Lakes District Council (2000) voluntary environmental initiatives made by tourism operators will become enforceable standards if they are included in resource consent applications. Proper drafting of environmental commitments requires attention to operational change in order to maintain achievable targets.</w:t>
      </w:r>
    </w:p>
    <w:p w:rsidR="00186B57" w:rsidRPr="00186B57" w:rsidRDefault="004C37A0" w:rsidP="004C37A0">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U.S. case of Federal Trade Commission v. The Federal Trade Commission (2014) directed Wellness Support Network to establish firm requirements for medical benefits verification in marketing wellness services. The case demonstrates how important it is to marketing based on solid evidence when communicating expected results unless you can demonstrate comprehensive health benefits with confidence</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021315" w:rsidRDefault="00186B57" w:rsidP="004C37A0">
      <w:pPr>
        <w:pStyle w:val="Heading1"/>
        <w:rPr>
          <w:rFonts w:ascii="Times New Roman" w:eastAsia="Times New Roman" w:hAnsi="Times New Roman" w:cs="Times New Roman"/>
          <w:b/>
          <w:bCs/>
        </w:rPr>
      </w:pPr>
      <w:bookmarkStart w:id="24" w:name="_Toc194503883"/>
      <w:r w:rsidRPr="00021315">
        <w:rPr>
          <w:rFonts w:ascii="Times New Roman" w:eastAsia="Times New Roman" w:hAnsi="Times New Roman" w:cs="Times New Roman"/>
          <w:b/>
          <w:bCs/>
        </w:rPr>
        <w:lastRenderedPageBreak/>
        <w:t>7. Conclusion</w:t>
      </w:r>
      <w:bookmarkEnd w:id="24"/>
    </w:p>
    <w:p w:rsidR="00021315" w:rsidRPr="00021315" w:rsidRDefault="00021315" w:rsidP="00021315">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Sustainable wellness eco-tourism businesses encounter multiple complex legal compliance problems because they need formal systematic solutions for handling different regulations across jurisdictions together with their relationships with stakeholders and operational aspects. Strategies that ensure compliance need to establish acceptable relationships between responsible risk management and operational delivery for both wellness coverage and ecological sustainability.</w:t>
      </w:r>
    </w:p>
    <w:p w:rsidR="00021315" w:rsidRPr="00021315" w:rsidRDefault="00021315" w:rsidP="00021315">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Multiple essential insights appear from this analytical assessment. Proactive contact with regulatory authorities as well as stakeholders yields superior results than reactive compliance approaches do. By seeking consultations </w:t>
      </w:r>
      <w:proofErr w:type="gramStart"/>
      <w:r w:rsidRPr="00021315">
        <w:rPr>
          <w:rFonts w:ascii="Times New Roman" w:eastAsia="Times New Roman" w:hAnsi="Times New Roman" w:cs="Times New Roman"/>
          <w:color w:val="000000"/>
          <w:kern w:val="0"/>
          <w14:ligatures w14:val="none"/>
        </w:rPr>
        <w:t>early</w:t>
      </w:r>
      <w:proofErr w:type="gramEnd"/>
      <w:r w:rsidRPr="00021315">
        <w:rPr>
          <w:rFonts w:ascii="Times New Roman" w:eastAsia="Times New Roman" w:hAnsi="Times New Roman" w:cs="Times New Roman"/>
          <w:color w:val="000000"/>
          <w:kern w:val="0"/>
          <w14:ligatures w14:val="none"/>
        </w:rPr>
        <w:t xml:space="preserve"> the necessary steps are developed to define environmental assessment boundaries as well as clarify confusing requirements and establish compliance solutions which all parties accept.</w:t>
      </w:r>
    </w:p>
    <w:p w:rsidR="00021315" w:rsidRPr="00021315" w:rsidRDefault="00021315" w:rsidP="00021315">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Integrating multiple compliance management systems creates superior advantages than using separate procedural approaches. Operational organizations with multiple sites gain dual advantages through standardized environmental management systems which adapt their practices to each jurisdiction.</w:t>
      </w:r>
    </w:p>
    <w:p w:rsidR="00021315" w:rsidRPr="00021315" w:rsidRDefault="00021315" w:rsidP="00021315">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Thirdly voluntary standards and certifications work together with mandatory regulations to help organizations develop market positions by showing their adoption of best practices. Professional organizations which follow regulatory priorities allow businesses to optimize both their compliance systems and their marketing effectiveness.</w:t>
      </w:r>
    </w:p>
    <w:p w:rsidR="00021315" w:rsidRPr="00021315" w:rsidRDefault="00021315" w:rsidP="00021315">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Strategic agreements with stakeholders form legal defenses and simultaneously build strong positive interactions with both community members and indigenous people. The agreements set out definitive requirements together with dispute resolution systems as well as benefit-sharing frameworks which consolidate long-term operational security.</w:t>
      </w:r>
    </w:p>
    <w:p w:rsidR="00186B57" w:rsidRPr="00186B57" w:rsidRDefault="00021315" w:rsidP="00021315">
      <w:p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Future regulation of wellness eco-tourism will very likely emerge to address evolving problems such as climate change effects and new digital privacy issues and evolving marketing demands. Organizations that construct strong compliance models which can adjust to emerging situations will secure the best capability to address this evolving legal system and provide meaningful wellness encounters in sustainable environments</w:t>
      </w:r>
      <w:r w:rsidR="00186B57" w:rsidRPr="00186B57">
        <w:rPr>
          <w:rFonts w:ascii="Times New Roman" w:eastAsia="Times New Roman" w:hAnsi="Times New Roman" w:cs="Times New Roman"/>
          <w:color w:val="000000"/>
          <w:kern w:val="0"/>
          <w14:ligatures w14:val="none"/>
        </w:rPr>
        <w:t>.</w:t>
      </w:r>
    </w:p>
    <w:p w:rsid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021315" w:rsidRPr="00186B57" w:rsidRDefault="00021315"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021315" w:rsidRDefault="00186B57" w:rsidP="00186B57">
      <w:pPr>
        <w:pStyle w:val="Heading1"/>
        <w:rPr>
          <w:rFonts w:ascii="Times New Roman" w:eastAsia="Times New Roman" w:hAnsi="Times New Roman" w:cs="Times New Roman"/>
          <w:b/>
          <w:bCs/>
        </w:rPr>
      </w:pPr>
      <w:bookmarkStart w:id="25" w:name="_Toc194503884"/>
      <w:r w:rsidRPr="00021315">
        <w:rPr>
          <w:rFonts w:ascii="Times New Roman" w:eastAsia="Times New Roman" w:hAnsi="Times New Roman" w:cs="Times New Roman"/>
          <w:b/>
          <w:bCs/>
        </w:rPr>
        <w:lastRenderedPageBreak/>
        <w:t xml:space="preserve">8. </w:t>
      </w:r>
      <w:r w:rsidRPr="00021315">
        <w:rPr>
          <w:rFonts w:ascii="Times New Roman" w:eastAsia="Times New Roman" w:hAnsi="Times New Roman" w:cs="Times New Roman"/>
          <w:b/>
          <w:bCs/>
        </w:rPr>
        <w:t>References</w:t>
      </w:r>
      <w:bookmarkEnd w:id="25"/>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Aro Ha. (2020). Sustainability report 2020. https://aro-ha.com/sustainability</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ASEAN Secretariat. (2016). ASEAN tourism standards. https://www.asean.org/storage/2012/05/ASEAN-Tourism-Standards-Book.pdf</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Banyan Tree. (2022). Sustainability report: Legal compliance and community engagement. Banyan Tree Holdings Limited.</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Bushell, R., &amp; Sheldon, P. J. (2019). Wellness and tourism: Mind, body, spirit, place. Cognizant Communication Corporation.</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Canyon Ranch. (2022). Environmental responsibility report. Canyon Ranch Inc.</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Christie, M. F., &amp; Mason, P. A. (2003). Transformative tour guiding: Training tour guides to be critically reflective practitioners. Journal of Ecotourism, 2(1), 1-16.</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Department of Marine and Coastal Resources, Thailand. (2020). Coastal development guidelines for tourism operations. Ministry of Natural Resources and Environment.</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Emirates </w:t>
      </w:r>
      <w:proofErr w:type="spellStart"/>
      <w:r w:rsidRPr="00021315">
        <w:rPr>
          <w:rFonts w:ascii="Times New Roman" w:eastAsia="Times New Roman" w:hAnsi="Times New Roman" w:cs="Times New Roman"/>
          <w:color w:val="000000"/>
          <w:kern w:val="0"/>
          <w14:ligatures w14:val="none"/>
        </w:rPr>
        <w:t>One&amp;Only</w:t>
      </w:r>
      <w:proofErr w:type="spellEnd"/>
      <w:r w:rsidRPr="00021315">
        <w:rPr>
          <w:rFonts w:ascii="Times New Roman" w:eastAsia="Times New Roman" w:hAnsi="Times New Roman" w:cs="Times New Roman"/>
          <w:color w:val="000000"/>
          <w:kern w:val="0"/>
          <w14:ligatures w14:val="none"/>
        </w:rPr>
        <w:t xml:space="preserve">. (2019). Conservation report: Wolgan Valley. Emirates </w:t>
      </w:r>
      <w:proofErr w:type="spellStart"/>
      <w:r w:rsidRPr="00021315">
        <w:rPr>
          <w:rFonts w:ascii="Times New Roman" w:eastAsia="Times New Roman" w:hAnsi="Times New Roman" w:cs="Times New Roman"/>
          <w:color w:val="000000"/>
          <w:kern w:val="0"/>
          <w14:ligatures w14:val="none"/>
        </w:rPr>
        <w:t>One&amp;Only</w:t>
      </w:r>
      <w:proofErr w:type="spellEnd"/>
      <w:r w:rsidRPr="00021315">
        <w:rPr>
          <w:rFonts w:ascii="Times New Roman" w:eastAsia="Times New Roman" w:hAnsi="Times New Roman" w:cs="Times New Roman"/>
          <w:color w:val="000000"/>
          <w:kern w:val="0"/>
          <w14:ligatures w14:val="none"/>
        </w:rPr>
        <w:t xml:space="preserve"> Resorts.</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European Commission. (2019). Package travel directive: Transposition status and implementation guidelines. https://ec.europa.eu/info/sites/default/files/travel_directive_implementation_report.pdf</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Fennell, D. A. (2020). Ecotourism (5th ed.). Routledge.</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Global Sustainable Tourism Council (GSTC). (2022). GSTC criteria and legal recognition. https://www.gstcouncil.org/certification/recognition-of-sustainable-tourism-standards/</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Global Wellness Institute. (2021). Global wellness economy monitor. https://globalwellnessinstitute.org/industry-research/</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Green Spa Network. (2022). Certification standards for wellness facilities. Green Spa Network Foundation.</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Hiller, J. S. (2013). The benefit corporation and corporate social responsibility. Journal of Business Ethics, 118(2), 287-301.</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Holden, A. (2016). Environment and tourism (3rd ed.). Routledge.</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Instituto </w:t>
      </w:r>
      <w:proofErr w:type="spellStart"/>
      <w:r w:rsidRPr="00021315">
        <w:rPr>
          <w:rFonts w:ascii="Times New Roman" w:eastAsia="Times New Roman" w:hAnsi="Times New Roman" w:cs="Times New Roman"/>
          <w:color w:val="000000"/>
          <w:kern w:val="0"/>
          <w14:ligatures w14:val="none"/>
        </w:rPr>
        <w:t>Costarricense</w:t>
      </w:r>
      <w:proofErr w:type="spellEnd"/>
      <w:r w:rsidRPr="00021315">
        <w:rPr>
          <w:rFonts w:ascii="Times New Roman" w:eastAsia="Times New Roman" w:hAnsi="Times New Roman" w:cs="Times New Roman"/>
          <w:color w:val="000000"/>
          <w:kern w:val="0"/>
          <w14:ligatures w14:val="none"/>
        </w:rPr>
        <w:t xml:space="preserve"> de Turismo. (2022). Certification for sustainable tourism: Legal framework and compliance guidelines. https://www.turismo-sostenible.co.cr/</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021315">
        <w:rPr>
          <w:rFonts w:ascii="Times New Roman" w:eastAsia="Times New Roman" w:hAnsi="Times New Roman" w:cs="Times New Roman"/>
          <w:color w:val="000000"/>
          <w:kern w:val="0"/>
          <w14:ligatures w14:val="none"/>
        </w:rPr>
        <w:t>Kamalaya</w:t>
      </w:r>
      <w:proofErr w:type="spellEnd"/>
      <w:r w:rsidRPr="00021315">
        <w:rPr>
          <w:rFonts w:ascii="Times New Roman" w:eastAsia="Times New Roman" w:hAnsi="Times New Roman" w:cs="Times New Roman"/>
          <w:color w:val="000000"/>
          <w:kern w:val="0"/>
          <w14:ligatures w14:val="none"/>
        </w:rPr>
        <w:t xml:space="preserve">. (2021). Sustainability compliance report. </w:t>
      </w:r>
      <w:proofErr w:type="spellStart"/>
      <w:r w:rsidRPr="00021315">
        <w:rPr>
          <w:rFonts w:ascii="Times New Roman" w:eastAsia="Times New Roman" w:hAnsi="Times New Roman" w:cs="Times New Roman"/>
          <w:color w:val="000000"/>
          <w:kern w:val="0"/>
          <w14:ligatures w14:val="none"/>
        </w:rPr>
        <w:t>Kamalaya</w:t>
      </w:r>
      <w:proofErr w:type="spellEnd"/>
      <w:r w:rsidRPr="00021315">
        <w:rPr>
          <w:rFonts w:ascii="Times New Roman" w:eastAsia="Times New Roman" w:hAnsi="Times New Roman" w:cs="Times New Roman"/>
          <w:color w:val="000000"/>
          <w:kern w:val="0"/>
          <w14:ligatures w14:val="none"/>
        </w:rPr>
        <w:t xml:space="preserve"> Co. Ltd.</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Massachusetts Department of Public Health. (2020). Regulations for complementary and alternative medicine practitioners. Commonwealth of Massachusetts.</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Nayara Springs. (2021). Environmental impact assessment and alternatives analysis. Nayara Resorts.</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New Zealand Environment Court. (2018). Decision on </w:t>
      </w:r>
      <w:proofErr w:type="spellStart"/>
      <w:r w:rsidRPr="00021315">
        <w:rPr>
          <w:rFonts w:ascii="Times New Roman" w:eastAsia="Times New Roman" w:hAnsi="Times New Roman" w:cs="Times New Roman"/>
          <w:color w:val="000000"/>
          <w:kern w:val="0"/>
          <w14:ligatures w14:val="none"/>
        </w:rPr>
        <w:t>Tuhura</w:t>
      </w:r>
      <w:proofErr w:type="spellEnd"/>
      <w:r w:rsidRPr="00021315">
        <w:rPr>
          <w:rFonts w:ascii="Times New Roman" w:eastAsia="Times New Roman" w:hAnsi="Times New Roman" w:cs="Times New Roman"/>
          <w:color w:val="000000"/>
          <w:kern w:val="0"/>
          <w14:ligatures w14:val="none"/>
        </w:rPr>
        <w:t xml:space="preserve"> Wellness Sanctuary resource consent application (ENV-2018-AKL-000112).</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New Zealand Ministry for the Environment. (2022). Resource consent monitoring requirements. https://environment.govt.nz/</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 xml:space="preserve">Pacuare Lodge. (2022). Community benefit agreement with </w:t>
      </w:r>
      <w:proofErr w:type="spellStart"/>
      <w:r w:rsidRPr="00021315">
        <w:rPr>
          <w:rFonts w:ascii="Times New Roman" w:eastAsia="Times New Roman" w:hAnsi="Times New Roman" w:cs="Times New Roman"/>
          <w:color w:val="000000"/>
          <w:kern w:val="0"/>
          <w14:ligatures w14:val="none"/>
        </w:rPr>
        <w:t>Cabécar</w:t>
      </w:r>
      <w:proofErr w:type="spellEnd"/>
      <w:r w:rsidRPr="00021315">
        <w:rPr>
          <w:rFonts w:ascii="Times New Roman" w:eastAsia="Times New Roman" w:hAnsi="Times New Roman" w:cs="Times New Roman"/>
          <w:color w:val="000000"/>
          <w:kern w:val="0"/>
          <w14:ligatures w14:val="none"/>
        </w:rPr>
        <w:t xml:space="preserve"> indigenous community. Pacuare Lodge.</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lastRenderedPageBreak/>
        <w:t>Post Ranch Inn. (2020). Sustainability report: Compliance with California Title 24 standards. Post Ranch Inn.</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Secretariat of the Convention on Biological Diversity. (2011). Nagoya Protocol on access to genetic resources and the fair and equitable sharing of benefits arising from their utilization to the Convention on Biological Diversity. https://www.cbd.int/abs/</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Six Senses. (2021). Sustainability report: Legal compliance across jurisdictions. Six Senses Hotels Resorts Spas.</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021315">
        <w:rPr>
          <w:rFonts w:ascii="Times New Roman" w:eastAsia="Times New Roman" w:hAnsi="Times New Roman" w:cs="Times New Roman"/>
          <w:color w:val="000000"/>
          <w:kern w:val="0"/>
          <w14:ligatures w14:val="none"/>
        </w:rPr>
        <w:t>Spenceley</w:t>
      </w:r>
      <w:proofErr w:type="spellEnd"/>
      <w:r w:rsidRPr="00021315">
        <w:rPr>
          <w:rFonts w:ascii="Times New Roman" w:eastAsia="Times New Roman" w:hAnsi="Times New Roman" w:cs="Times New Roman"/>
          <w:color w:val="000000"/>
          <w:kern w:val="0"/>
          <w14:ligatures w14:val="none"/>
        </w:rPr>
        <w:t>, A. (2019). Sustainable tourism certification in the African hotel sector. Tourism Review, 74(2), 179-193.</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State Intellectual Property Office of China. (2019). Regulations on protection of traditional knowledge. People's Republic of China.</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Thailand Board of Investment. (2022). Foreign business regulations for wellness tourism ventures. https://www.boi.go.th/</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The Harmony Hotel. (2022). Compliance with Costa Rica's Maritime Zone Law. The Harmony Hotel.</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Treetops Lodge. (2020). Māori community partnership agreement. Treetops Lodge &amp; Estate.</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United Nations World Tourism Organization (UNWTO). (2020). Global code of ethics for tourism. https://www.unwto.org/global-code-of-ethics-for-tourism</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Voyages Indigenous Tourism. (2022). Indigenous engagement framework: Longitude 131°. Voyages Indigenous Tourism Australia.</w:t>
      </w:r>
    </w:p>
    <w:p w:rsidR="00186B57" w:rsidRPr="00021315" w:rsidRDefault="00186B57" w:rsidP="00186B57">
      <w:pPr>
        <w:pStyle w:val="ListParagraph"/>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021315">
        <w:rPr>
          <w:rFonts w:ascii="Times New Roman" w:eastAsia="Times New Roman" w:hAnsi="Times New Roman" w:cs="Times New Roman"/>
          <w:color w:val="000000"/>
          <w:kern w:val="0"/>
          <w14:ligatures w14:val="none"/>
        </w:rPr>
        <w:t>Whitehorse v. Oliver (1994) 46 FCR 124 (Federal Court of Australia).</w:t>
      </w:r>
    </w:p>
    <w:p w:rsidR="00186B57" w:rsidRPr="00186B57" w:rsidRDefault="00186B57" w:rsidP="00186B57">
      <w:pPr>
        <w:spacing w:before="100" w:beforeAutospacing="1" w:after="100" w:afterAutospacing="1" w:line="240" w:lineRule="auto"/>
        <w:rPr>
          <w:rFonts w:ascii="Times New Roman" w:eastAsia="Times New Roman" w:hAnsi="Times New Roman" w:cs="Times New Roman"/>
          <w:color w:val="000000"/>
          <w:kern w:val="0"/>
          <w14:ligatures w14:val="none"/>
        </w:rPr>
      </w:pPr>
    </w:p>
    <w:p w:rsidR="00186B57" w:rsidRPr="00021315" w:rsidRDefault="00186B57">
      <w:pPr>
        <w:rPr>
          <w:rFonts w:ascii="Times New Roman" w:hAnsi="Times New Roman" w:cs="Times New Roman"/>
        </w:rPr>
      </w:pPr>
    </w:p>
    <w:sectPr w:rsidR="00186B57" w:rsidRPr="000213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24A2C"/>
    <w:multiLevelType w:val="multilevel"/>
    <w:tmpl w:val="911414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996940"/>
    <w:multiLevelType w:val="multilevel"/>
    <w:tmpl w:val="0A04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734E3"/>
    <w:multiLevelType w:val="multilevel"/>
    <w:tmpl w:val="640A4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742BF"/>
    <w:multiLevelType w:val="multilevel"/>
    <w:tmpl w:val="C358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55602"/>
    <w:multiLevelType w:val="hybridMultilevel"/>
    <w:tmpl w:val="91669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5236DE"/>
    <w:multiLevelType w:val="hybridMultilevel"/>
    <w:tmpl w:val="2B18A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BA7C3E"/>
    <w:multiLevelType w:val="multilevel"/>
    <w:tmpl w:val="3BA0E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F82EED"/>
    <w:multiLevelType w:val="multilevel"/>
    <w:tmpl w:val="B1DAAE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8B33E7"/>
    <w:multiLevelType w:val="hybridMultilevel"/>
    <w:tmpl w:val="34728428"/>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53D105D"/>
    <w:multiLevelType w:val="multilevel"/>
    <w:tmpl w:val="CE4828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1D117E"/>
    <w:multiLevelType w:val="multilevel"/>
    <w:tmpl w:val="6B2CD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AF3940"/>
    <w:multiLevelType w:val="multilevel"/>
    <w:tmpl w:val="2CDAFF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A50A21"/>
    <w:multiLevelType w:val="multilevel"/>
    <w:tmpl w:val="729057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F20918"/>
    <w:multiLevelType w:val="multilevel"/>
    <w:tmpl w:val="F86CC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3C4628"/>
    <w:multiLevelType w:val="multilevel"/>
    <w:tmpl w:val="7270B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F21C03"/>
    <w:multiLevelType w:val="multilevel"/>
    <w:tmpl w:val="120A70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963B3F"/>
    <w:multiLevelType w:val="hybridMultilevel"/>
    <w:tmpl w:val="21948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57105B"/>
    <w:multiLevelType w:val="multilevel"/>
    <w:tmpl w:val="362A5B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944146">
    <w:abstractNumId w:val="6"/>
    <w:lvlOverride w:ilvl="0">
      <w:startOverride w:val="1"/>
    </w:lvlOverride>
  </w:num>
  <w:num w:numId="2" w16cid:durableId="1577859947">
    <w:abstractNumId w:val="6"/>
  </w:num>
  <w:num w:numId="3" w16cid:durableId="1789469771">
    <w:abstractNumId w:val="1"/>
    <w:lvlOverride w:ilvl="0">
      <w:startOverride w:val="1"/>
    </w:lvlOverride>
  </w:num>
  <w:num w:numId="4" w16cid:durableId="1526287055">
    <w:abstractNumId w:val="1"/>
    <w:lvlOverride w:ilvl="0">
      <w:startOverride w:val="2"/>
    </w:lvlOverride>
  </w:num>
  <w:num w:numId="5" w16cid:durableId="113789329">
    <w:abstractNumId w:val="0"/>
    <w:lvlOverride w:ilvl="0">
      <w:startOverride w:val="3"/>
    </w:lvlOverride>
  </w:num>
  <w:num w:numId="6" w16cid:durableId="931473046">
    <w:abstractNumId w:val="2"/>
    <w:lvlOverride w:ilvl="0">
      <w:startOverride w:val="1"/>
    </w:lvlOverride>
  </w:num>
  <w:num w:numId="7" w16cid:durableId="555550532">
    <w:abstractNumId w:val="2"/>
    <w:lvlOverride w:ilvl="0">
      <w:startOverride w:val="2"/>
    </w:lvlOverride>
  </w:num>
  <w:num w:numId="8" w16cid:durableId="593442927">
    <w:abstractNumId w:val="2"/>
    <w:lvlOverride w:ilvl="0">
      <w:startOverride w:val="3"/>
    </w:lvlOverride>
  </w:num>
  <w:num w:numId="9" w16cid:durableId="2094621123">
    <w:abstractNumId w:val="2"/>
    <w:lvlOverride w:ilvl="0">
      <w:startOverride w:val="4"/>
    </w:lvlOverride>
  </w:num>
  <w:num w:numId="10" w16cid:durableId="667248695">
    <w:abstractNumId w:val="11"/>
    <w:lvlOverride w:ilvl="0">
      <w:startOverride w:val="4"/>
    </w:lvlOverride>
  </w:num>
  <w:num w:numId="11" w16cid:durableId="928924973">
    <w:abstractNumId w:val="3"/>
    <w:lvlOverride w:ilvl="0">
      <w:startOverride w:val="1"/>
    </w:lvlOverride>
  </w:num>
  <w:num w:numId="12" w16cid:durableId="1976597157">
    <w:abstractNumId w:val="3"/>
    <w:lvlOverride w:ilvl="0">
      <w:startOverride w:val="2"/>
    </w:lvlOverride>
  </w:num>
  <w:num w:numId="13" w16cid:durableId="1803962458">
    <w:abstractNumId w:val="3"/>
    <w:lvlOverride w:ilvl="0">
      <w:startOverride w:val="3"/>
    </w:lvlOverride>
  </w:num>
  <w:num w:numId="14" w16cid:durableId="1867792984">
    <w:abstractNumId w:val="3"/>
    <w:lvlOverride w:ilvl="0">
      <w:startOverride w:val="4"/>
    </w:lvlOverride>
  </w:num>
  <w:num w:numId="15" w16cid:durableId="1641766791">
    <w:abstractNumId w:val="17"/>
    <w:lvlOverride w:ilvl="0">
      <w:startOverride w:val="5"/>
    </w:lvlOverride>
  </w:num>
  <w:num w:numId="16" w16cid:durableId="232393797">
    <w:abstractNumId w:val="15"/>
    <w:lvlOverride w:ilvl="0">
      <w:startOverride w:val="1"/>
    </w:lvlOverride>
  </w:num>
  <w:num w:numId="17" w16cid:durableId="2105416937">
    <w:abstractNumId w:val="15"/>
    <w:lvlOverride w:ilvl="0">
      <w:startOverride w:val="2"/>
    </w:lvlOverride>
  </w:num>
  <w:num w:numId="18" w16cid:durableId="1472555056">
    <w:abstractNumId w:val="15"/>
    <w:lvlOverride w:ilvl="0">
      <w:startOverride w:val="3"/>
    </w:lvlOverride>
  </w:num>
  <w:num w:numId="19" w16cid:durableId="1277980090">
    <w:abstractNumId w:val="15"/>
    <w:lvlOverride w:ilvl="0">
      <w:startOverride w:val="4"/>
    </w:lvlOverride>
  </w:num>
  <w:num w:numId="20" w16cid:durableId="1952321937">
    <w:abstractNumId w:val="9"/>
    <w:lvlOverride w:ilvl="0">
      <w:startOverride w:val="6"/>
    </w:lvlOverride>
  </w:num>
  <w:num w:numId="21" w16cid:durableId="1614944535">
    <w:abstractNumId w:val="7"/>
    <w:lvlOverride w:ilvl="0">
      <w:startOverride w:val="1"/>
    </w:lvlOverride>
  </w:num>
  <w:num w:numId="22" w16cid:durableId="2020157221">
    <w:abstractNumId w:val="7"/>
    <w:lvlOverride w:ilvl="0">
      <w:startOverride w:val="2"/>
    </w:lvlOverride>
  </w:num>
  <w:num w:numId="23" w16cid:durableId="1716272349">
    <w:abstractNumId w:val="7"/>
    <w:lvlOverride w:ilvl="0">
      <w:startOverride w:val="3"/>
    </w:lvlOverride>
  </w:num>
  <w:num w:numId="24" w16cid:durableId="727192867">
    <w:abstractNumId w:val="7"/>
    <w:lvlOverride w:ilvl="0">
      <w:startOverride w:val="4"/>
    </w:lvlOverride>
  </w:num>
  <w:num w:numId="25" w16cid:durableId="1425421567">
    <w:abstractNumId w:val="12"/>
    <w:lvlOverride w:ilvl="0">
      <w:startOverride w:val="7"/>
    </w:lvlOverride>
  </w:num>
  <w:num w:numId="26" w16cid:durableId="906764883">
    <w:abstractNumId w:val="12"/>
    <w:lvlOverride w:ilvl="0">
      <w:startOverride w:val="8"/>
    </w:lvlOverride>
  </w:num>
  <w:num w:numId="27" w16cid:durableId="614212143">
    <w:abstractNumId w:val="12"/>
    <w:lvlOverride w:ilvl="0">
      <w:startOverride w:val="9"/>
    </w:lvlOverride>
  </w:num>
  <w:num w:numId="28" w16cid:durableId="1769078918">
    <w:abstractNumId w:val="10"/>
    <w:lvlOverride w:ilvl="0">
      <w:startOverride w:val="1"/>
    </w:lvlOverride>
  </w:num>
  <w:num w:numId="29" w16cid:durableId="1055087905">
    <w:abstractNumId w:val="10"/>
    <w:lvlOverride w:ilvl="0">
      <w:startOverride w:val="2"/>
    </w:lvlOverride>
  </w:num>
  <w:num w:numId="30" w16cid:durableId="1126462910">
    <w:abstractNumId w:val="10"/>
    <w:lvlOverride w:ilvl="0">
      <w:startOverride w:val="3"/>
    </w:lvlOverride>
  </w:num>
  <w:num w:numId="31" w16cid:durableId="458571521">
    <w:abstractNumId w:val="10"/>
    <w:lvlOverride w:ilvl="0">
      <w:startOverride w:val="4"/>
    </w:lvlOverride>
  </w:num>
  <w:num w:numId="32" w16cid:durableId="1319384447">
    <w:abstractNumId w:val="14"/>
    <w:lvlOverride w:ilvl="0">
      <w:startOverride w:val="1"/>
    </w:lvlOverride>
  </w:num>
  <w:num w:numId="33" w16cid:durableId="261307435">
    <w:abstractNumId w:val="14"/>
    <w:lvlOverride w:ilvl="0">
      <w:startOverride w:val="2"/>
    </w:lvlOverride>
  </w:num>
  <w:num w:numId="34" w16cid:durableId="1599100997">
    <w:abstractNumId w:val="14"/>
    <w:lvlOverride w:ilvl="0">
      <w:startOverride w:val="3"/>
    </w:lvlOverride>
  </w:num>
  <w:num w:numId="35" w16cid:durableId="1725910454">
    <w:abstractNumId w:val="14"/>
    <w:lvlOverride w:ilvl="0">
      <w:startOverride w:val="4"/>
    </w:lvlOverride>
  </w:num>
  <w:num w:numId="36" w16cid:durableId="666981725">
    <w:abstractNumId w:val="13"/>
    <w:lvlOverride w:ilvl="0">
      <w:startOverride w:val="1"/>
    </w:lvlOverride>
  </w:num>
  <w:num w:numId="37" w16cid:durableId="201091858">
    <w:abstractNumId w:val="13"/>
    <w:lvlOverride w:ilvl="0">
      <w:startOverride w:val="2"/>
    </w:lvlOverride>
  </w:num>
  <w:num w:numId="38" w16cid:durableId="271061827">
    <w:abstractNumId w:val="13"/>
    <w:lvlOverride w:ilvl="0">
      <w:startOverride w:val="3"/>
    </w:lvlOverride>
  </w:num>
  <w:num w:numId="39" w16cid:durableId="1222910926">
    <w:abstractNumId w:val="13"/>
    <w:lvlOverride w:ilvl="0">
      <w:startOverride w:val="4"/>
    </w:lvlOverride>
  </w:num>
  <w:num w:numId="40" w16cid:durableId="130484644">
    <w:abstractNumId w:val="16"/>
  </w:num>
  <w:num w:numId="41" w16cid:durableId="1832478043">
    <w:abstractNumId w:val="4"/>
  </w:num>
  <w:num w:numId="42" w16cid:durableId="1692760873">
    <w:abstractNumId w:val="8"/>
  </w:num>
  <w:num w:numId="43" w16cid:durableId="11992009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B57"/>
    <w:rsid w:val="00021315"/>
    <w:rsid w:val="00186B57"/>
    <w:rsid w:val="001B7F74"/>
    <w:rsid w:val="004C37A0"/>
    <w:rsid w:val="00821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84E8C8"/>
  <w15:chartTrackingRefBased/>
  <w15:docId w15:val="{10C16688-B720-C44D-9069-AE0DCA86C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B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86B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86B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6B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6B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6B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6B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6B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6B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B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86B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86B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6B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6B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6B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B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B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B57"/>
    <w:rPr>
      <w:rFonts w:eastAsiaTheme="majorEastAsia" w:cstheme="majorBidi"/>
      <w:color w:val="272727" w:themeColor="text1" w:themeTint="D8"/>
    </w:rPr>
  </w:style>
  <w:style w:type="paragraph" w:styleId="Title">
    <w:name w:val="Title"/>
    <w:basedOn w:val="Normal"/>
    <w:next w:val="Normal"/>
    <w:link w:val="TitleChar"/>
    <w:uiPriority w:val="10"/>
    <w:qFormat/>
    <w:rsid w:val="00186B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B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B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6B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B57"/>
    <w:pPr>
      <w:spacing w:before="160"/>
      <w:jc w:val="center"/>
    </w:pPr>
    <w:rPr>
      <w:i/>
      <w:iCs/>
      <w:color w:val="404040" w:themeColor="text1" w:themeTint="BF"/>
    </w:rPr>
  </w:style>
  <w:style w:type="character" w:customStyle="1" w:styleId="QuoteChar">
    <w:name w:val="Quote Char"/>
    <w:basedOn w:val="DefaultParagraphFont"/>
    <w:link w:val="Quote"/>
    <w:uiPriority w:val="29"/>
    <w:rsid w:val="00186B57"/>
    <w:rPr>
      <w:i/>
      <w:iCs/>
      <w:color w:val="404040" w:themeColor="text1" w:themeTint="BF"/>
    </w:rPr>
  </w:style>
  <w:style w:type="paragraph" w:styleId="ListParagraph">
    <w:name w:val="List Paragraph"/>
    <w:basedOn w:val="Normal"/>
    <w:uiPriority w:val="34"/>
    <w:qFormat/>
    <w:rsid w:val="00186B57"/>
    <w:pPr>
      <w:ind w:left="720"/>
      <w:contextualSpacing/>
    </w:pPr>
  </w:style>
  <w:style w:type="character" w:styleId="IntenseEmphasis">
    <w:name w:val="Intense Emphasis"/>
    <w:basedOn w:val="DefaultParagraphFont"/>
    <w:uiPriority w:val="21"/>
    <w:qFormat/>
    <w:rsid w:val="00186B57"/>
    <w:rPr>
      <w:i/>
      <w:iCs/>
      <w:color w:val="2F5496" w:themeColor="accent1" w:themeShade="BF"/>
    </w:rPr>
  </w:style>
  <w:style w:type="paragraph" w:styleId="IntenseQuote">
    <w:name w:val="Intense Quote"/>
    <w:basedOn w:val="Normal"/>
    <w:next w:val="Normal"/>
    <w:link w:val="IntenseQuoteChar"/>
    <w:uiPriority w:val="30"/>
    <w:qFormat/>
    <w:rsid w:val="00186B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6B57"/>
    <w:rPr>
      <w:i/>
      <w:iCs/>
      <w:color w:val="2F5496" w:themeColor="accent1" w:themeShade="BF"/>
    </w:rPr>
  </w:style>
  <w:style w:type="character" w:styleId="IntenseReference">
    <w:name w:val="Intense Reference"/>
    <w:basedOn w:val="DefaultParagraphFont"/>
    <w:uiPriority w:val="32"/>
    <w:qFormat/>
    <w:rsid w:val="00186B57"/>
    <w:rPr>
      <w:b/>
      <w:bCs/>
      <w:smallCaps/>
      <w:color w:val="2F5496" w:themeColor="accent1" w:themeShade="BF"/>
      <w:spacing w:val="5"/>
    </w:rPr>
  </w:style>
  <w:style w:type="paragraph" w:customStyle="1" w:styleId="editorthemeparagraph">
    <w:name w:val="editortheme__paragraph"/>
    <w:basedOn w:val="Normal"/>
    <w:rsid w:val="00186B5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186B57"/>
    <w:rPr>
      <w:i/>
      <w:iCs/>
    </w:rPr>
  </w:style>
  <w:style w:type="paragraph" w:customStyle="1" w:styleId="editorthemelistitem">
    <w:name w:val="editortheme__listitem"/>
    <w:basedOn w:val="Normal"/>
    <w:rsid w:val="00186B5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021315"/>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021315"/>
    <w:pPr>
      <w:spacing w:before="120" w:after="0"/>
    </w:pPr>
    <w:rPr>
      <w:rFonts w:cstheme="minorHAnsi"/>
      <w:b/>
      <w:bCs/>
      <w:i/>
      <w:iCs/>
    </w:rPr>
  </w:style>
  <w:style w:type="paragraph" w:styleId="TOC2">
    <w:name w:val="toc 2"/>
    <w:basedOn w:val="Normal"/>
    <w:next w:val="Normal"/>
    <w:autoRedefine/>
    <w:uiPriority w:val="39"/>
    <w:unhideWhenUsed/>
    <w:rsid w:val="00021315"/>
    <w:pPr>
      <w:spacing w:before="120" w:after="0"/>
      <w:ind w:left="240"/>
    </w:pPr>
    <w:rPr>
      <w:rFonts w:cstheme="minorHAnsi"/>
      <w:b/>
      <w:bCs/>
      <w:sz w:val="22"/>
      <w:szCs w:val="22"/>
    </w:rPr>
  </w:style>
  <w:style w:type="character" w:styleId="Hyperlink">
    <w:name w:val="Hyperlink"/>
    <w:basedOn w:val="DefaultParagraphFont"/>
    <w:uiPriority w:val="99"/>
    <w:unhideWhenUsed/>
    <w:rsid w:val="00021315"/>
    <w:rPr>
      <w:color w:val="0563C1" w:themeColor="hyperlink"/>
      <w:u w:val="single"/>
    </w:rPr>
  </w:style>
  <w:style w:type="paragraph" w:styleId="TOC3">
    <w:name w:val="toc 3"/>
    <w:basedOn w:val="Normal"/>
    <w:next w:val="Normal"/>
    <w:autoRedefine/>
    <w:uiPriority w:val="39"/>
    <w:semiHidden/>
    <w:unhideWhenUsed/>
    <w:rsid w:val="00021315"/>
    <w:pPr>
      <w:spacing w:after="0"/>
      <w:ind w:left="480"/>
    </w:pPr>
    <w:rPr>
      <w:rFonts w:cstheme="minorHAnsi"/>
      <w:sz w:val="20"/>
      <w:szCs w:val="20"/>
    </w:rPr>
  </w:style>
  <w:style w:type="paragraph" w:styleId="TOC4">
    <w:name w:val="toc 4"/>
    <w:basedOn w:val="Normal"/>
    <w:next w:val="Normal"/>
    <w:autoRedefine/>
    <w:uiPriority w:val="39"/>
    <w:semiHidden/>
    <w:unhideWhenUsed/>
    <w:rsid w:val="00021315"/>
    <w:pPr>
      <w:spacing w:after="0"/>
      <w:ind w:left="720"/>
    </w:pPr>
    <w:rPr>
      <w:rFonts w:cstheme="minorHAnsi"/>
      <w:sz w:val="20"/>
      <w:szCs w:val="20"/>
    </w:rPr>
  </w:style>
  <w:style w:type="paragraph" w:styleId="TOC5">
    <w:name w:val="toc 5"/>
    <w:basedOn w:val="Normal"/>
    <w:next w:val="Normal"/>
    <w:autoRedefine/>
    <w:uiPriority w:val="39"/>
    <w:semiHidden/>
    <w:unhideWhenUsed/>
    <w:rsid w:val="00021315"/>
    <w:pPr>
      <w:spacing w:after="0"/>
      <w:ind w:left="960"/>
    </w:pPr>
    <w:rPr>
      <w:rFonts w:cstheme="minorHAnsi"/>
      <w:sz w:val="20"/>
      <w:szCs w:val="20"/>
    </w:rPr>
  </w:style>
  <w:style w:type="paragraph" w:styleId="TOC6">
    <w:name w:val="toc 6"/>
    <w:basedOn w:val="Normal"/>
    <w:next w:val="Normal"/>
    <w:autoRedefine/>
    <w:uiPriority w:val="39"/>
    <w:semiHidden/>
    <w:unhideWhenUsed/>
    <w:rsid w:val="00021315"/>
    <w:pPr>
      <w:spacing w:after="0"/>
      <w:ind w:left="1200"/>
    </w:pPr>
    <w:rPr>
      <w:rFonts w:cstheme="minorHAnsi"/>
      <w:sz w:val="20"/>
      <w:szCs w:val="20"/>
    </w:rPr>
  </w:style>
  <w:style w:type="paragraph" w:styleId="TOC7">
    <w:name w:val="toc 7"/>
    <w:basedOn w:val="Normal"/>
    <w:next w:val="Normal"/>
    <w:autoRedefine/>
    <w:uiPriority w:val="39"/>
    <w:semiHidden/>
    <w:unhideWhenUsed/>
    <w:rsid w:val="00021315"/>
    <w:pPr>
      <w:spacing w:after="0"/>
      <w:ind w:left="1440"/>
    </w:pPr>
    <w:rPr>
      <w:rFonts w:cstheme="minorHAnsi"/>
      <w:sz w:val="20"/>
      <w:szCs w:val="20"/>
    </w:rPr>
  </w:style>
  <w:style w:type="paragraph" w:styleId="TOC8">
    <w:name w:val="toc 8"/>
    <w:basedOn w:val="Normal"/>
    <w:next w:val="Normal"/>
    <w:autoRedefine/>
    <w:uiPriority w:val="39"/>
    <w:semiHidden/>
    <w:unhideWhenUsed/>
    <w:rsid w:val="00021315"/>
    <w:pPr>
      <w:spacing w:after="0"/>
      <w:ind w:left="1680"/>
    </w:pPr>
    <w:rPr>
      <w:rFonts w:cstheme="minorHAnsi"/>
      <w:sz w:val="20"/>
      <w:szCs w:val="20"/>
    </w:rPr>
  </w:style>
  <w:style w:type="paragraph" w:styleId="TOC9">
    <w:name w:val="toc 9"/>
    <w:basedOn w:val="Normal"/>
    <w:next w:val="Normal"/>
    <w:autoRedefine/>
    <w:uiPriority w:val="39"/>
    <w:semiHidden/>
    <w:unhideWhenUsed/>
    <w:rsid w:val="00021315"/>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44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6AE82-F42E-AC45-9F0C-EF92A0768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24</Pages>
  <Words>6685</Words>
  <Characters>38105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2</cp:revision>
  <dcterms:created xsi:type="dcterms:W3CDTF">2025-04-02T13:56:00Z</dcterms:created>
  <dcterms:modified xsi:type="dcterms:W3CDTF">2025-04-02T14:30:00Z</dcterms:modified>
</cp:coreProperties>
</file>