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200EDE" w14:textId="77777777" w:rsidR="00AA564A" w:rsidRPr="00C26480" w:rsidRDefault="00AA564A" w:rsidP="00AA564A">
      <w:pPr>
        <w:spacing w:line="480" w:lineRule="auto"/>
        <w:jc w:val="center"/>
        <w:rPr>
          <w:rFonts w:ascii="Times New Roman" w:hAnsi="Times New Roman" w:cs="Times New Roman"/>
          <w:color w:val="000000" w:themeColor="text1"/>
          <w:szCs w:val="24"/>
        </w:rPr>
      </w:pPr>
      <w:r w:rsidRPr="00C26480">
        <w:rPr>
          <w:rFonts w:ascii="Times New Roman" w:hAnsi="Times New Roman" w:cs="Times New Roman"/>
          <w:noProof/>
          <w:color w:val="000000" w:themeColor="text1"/>
          <w:szCs w:val="24"/>
        </w:rPr>
        <w:drawing>
          <wp:inline distT="0" distB="0" distL="0" distR="0" wp14:anchorId="7E0D3772" wp14:editId="5C14FA36">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4"/>
                    <a:stretch>
                      <a:fillRect/>
                    </a:stretch>
                  </pic:blipFill>
                  <pic:spPr>
                    <a:xfrm>
                      <a:off x="0" y="0"/>
                      <a:ext cx="2476846" cy="733527"/>
                    </a:xfrm>
                    <a:prstGeom prst="rect">
                      <a:avLst/>
                    </a:prstGeom>
                  </pic:spPr>
                </pic:pic>
              </a:graphicData>
            </a:graphic>
          </wp:inline>
        </w:drawing>
      </w:r>
    </w:p>
    <w:p w14:paraId="6AE7565A" w14:textId="77777777" w:rsidR="00AA564A" w:rsidRPr="00C26480" w:rsidRDefault="00AA564A" w:rsidP="00AA564A">
      <w:pPr>
        <w:spacing w:line="480" w:lineRule="auto"/>
        <w:jc w:val="center"/>
        <w:rPr>
          <w:rFonts w:ascii="Times New Roman" w:hAnsi="Times New Roman" w:cs="Times New Roman"/>
          <w:b/>
          <w:bCs/>
          <w:color w:val="000000" w:themeColor="text1"/>
          <w:szCs w:val="24"/>
        </w:rPr>
      </w:pPr>
      <w:r w:rsidRPr="00C26480">
        <w:rPr>
          <w:rFonts w:ascii="Times New Roman" w:hAnsi="Times New Roman" w:cs="Times New Roman"/>
          <w:b/>
          <w:bCs/>
          <w:color w:val="000000" w:themeColor="text1"/>
          <w:szCs w:val="24"/>
        </w:rPr>
        <w:t>Assignment 2: Strategic Management and Decision-Making in Complex Business</w:t>
      </w:r>
    </w:p>
    <w:p w14:paraId="47E8B6A0" w14:textId="77777777" w:rsidR="00AA564A" w:rsidRPr="00C26480" w:rsidRDefault="00AA564A" w:rsidP="00AA564A">
      <w:pPr>
        <w:spacing w:line="480" w:lineRule="auto"/>
        <w:jc w:val="center"/>
        <w:rPr>
          <w:rFonts w:ascii="Times New Roman" w:hAnsi="Times New Roman" w:cs="Times New Roman"/>
          <w:b/>
          <w:bCs/>
          <w:color w:val="000000" w:themeColor="text1"/>
          <w:szCs w:val="24"/>
        </w:rPr>
      </w:pPr>
      <w:r w:rsidRPr="00C26480">
        <w:rPr>
          <w:rFonts w:ascii="Times New Roman" w:hAnsi="Times New Roman" w:cs="Times New Roman"/>
          <w:b/>
          <w:bCs/>
          <w:color w:val="000000" w:themeColor="text1"/>
          <w:szCs w:val="24"/>
        </w:rPr>
        <w:t>Environments</w:t>
      </w:r>
    </w:p>
    <w:p w14:paraId="45B302BF" w14:textId="77777777" w:rsidR="00AA564A" w:rsidRPr="00C26480" w:rsidRDefault="00AA564A" w:rsidP="00AA564A">
      <w:pPr>
        <w:spacing w:line="480" w:lineRule="auto"/>
        <w:jc w:val="center"/>
        <w:rPr>
          <w:rFonts w:ascii="Times New Roman" w:hAnsi="Times New Roman" w:cs="Times New Roman"/>
          <w:b/>
          <w:bCs/>
          <w:color w:val="000000" w:themeColor="text1"/>
          <w:szCs w:val="24"/>
        </w:rPr>
      </w:pPr>
      <w:r w:rsidRPr="00C26480">
        <w:rPr>
          <w:rFonts w:ascii="Times New Roman" w:hAnsi="Times New Roman" w:cs="Times New Roman"/>
          <w:b/>
          <w:bCs/>
          <w:color w:val="000000" w:themeColor="text1"/>
          <w:szCs w:val="24"/>
        </w:rPr>
        <w:t>Case Study:</w:t>
      </w:r>
    </w:p>
    <w:p w14:paraId="7F7D456E" w14:textId="77777777" w:rsidR="00AA564A" w:rsidRPr="00C26480" w:rsidRDefault="00AA564A" w:rsidP="00AA564A">
      <w:pPr>
        <w:spacing w:line="480" w:lineRule="auto"/>
        <w:jc w:val="center"/>
        <w:rPr>
          <w:rFonts w:ascii="Times New Roman" w:hAnsi="Times New Roman" w:cs="Times New Roman"/>
          <w:b/>
          <w:bCs/>
          <w:color w:val="000000" w:themeColor="text1"/>
          <w:szCs w:val="24"/>
        </w:rPr>
      </w:pPr>
      <w:r w:rsidRPr="00C26480">
        <w:rPr>
          <w:rFonts w:ascii="Times New Roman" w:hAnsi="Times New Roman" w:cs="Times New Roman"/>
          <w:b/>
          <w:bCs/>
          <w:color w:val="000000" w:themeColor="text1"/>
          <w:szCs w:val="24"/>
        </w:rPr>
        <w:t>• Examine the strategic decision-making process at Tesla Inc. during the global</w:t>
      </w:r>
    </w:p>
    <w:p w14:paraId="03DD8A52" w14:textId="77777777" w:rsidR="00AA564A" w:rsidRPr="00C26480" w:rsidRDefault="00AA564A" w:rsidP="00AA564A">
      <w:pPr>
        <w:spacing w:line="480" w:lineRule="auto"/>
        <w:jc w:val="center"/>
        <w:rPr>
          <w:rFonts w:ascii="Times New Roman" w:hAnsi="Times New Roman" w:cs="Times New Roman"/>
          <w:b/>
          <w:bCs/>
          <w:color w:val="000000" w:themeColor="text1"/>
          <w:szCs w:val="24"/>
        </w:rPr>
      </w:pPr>
      <w:r w:rsidRPr="00C26480">
        <w:rPr>
          <w:rFonts w:ascii="Times New Roman" w:hAnsi="Times New Roman" w:cs="Times New Roman"/>
          <w:b/>
          <w:bCs/>
          <w:color w:val="000000" w:themeColor="text1"/>
          <w:szCs w:val="24"/>
        </w:rPr>
        <w:t>semiconductor shortage. How did the company navigate the supply chain disruptions,</w:t>
      </w:r>
    </w:p>
    <w:p w14:paraId="65101AEB" w14:textId="77777777" w:rsidR="00AA564A" w:rsidRPr="00C26480" w:rsidRDefault="00AA564A" w:rsidP="00AA564A">
      <w:pPr>
        <w:spacing w:line="480" w:lineRule="auto"/>
        <w:jc w:val="center"/>
        <w:rPr>
          <w:rFonts w:ascii="Times New Roman" w:hAnsi="Times New Roman" w:cs="Times New Roman"/>
          <w:b/>
          <w:bCs/>
          <w:color w:val="000000" w:themeColor="text1"/>
          <w:szCs w:val="24"/>
        </w:rPr>
      </w:pPr>
      <w:r w:rsidRPr="00C26480">
        <w:rPr>
          <w:rFonts w:ascii="Times New Roman" w:hAnsi="Times New Roman" w:cs="Times New Roman"/>
          <w:b/>
          <w:bCs/>
          <w:color w:val="000000" w:themeColor="text1"/>
          <w:szCs w:val="24"/>
        </w:rPr>
        <w:t>and what decision-making model did it adopt to maintain its competitive advantage?</w:t>
      </w:r>
    </w:p>
    <w:p w14:paraId="35E58CE0" w14:textId="77777777" w:rsidR="00AA564A" w:rsidRPr="00C26480" w:rsidRDefault="00AA564A" w:rsidP="00AA564A">
      <w:pPr>
        <w:spacing w:line="480" w:lineRule="auto"/>
        <w:jc w:val="center"/>
        <w:rPr>
          <w:rFonts w:ascii="Times New Roman" w:hAnsi="Times New Roman" w:cs="Times New Roman"/>
          <w:b/>
          <w:bCs/>
          <w:color w:val="000000" w:themeColor="text1"/>
          <w:szCs w:val="24"/>
        </w:rPr>
      </w:pPr>
    </w:p>
    <w:p w14:paraId="425A4F9B" w14:textId="77777777" w:rsidR="00AA564A" w:rsidRPr="00C26480" w:rsidRDefault="00AA564A" w:rsidP="00AA564A">
      <w:pPr>
        <w:spacing w:line="480" w:lineRule="auto"/>
        <w:jc w:val="center"/>
        <w:rPr>
          <w:rFonts w:ascii="Times New Roman" w:hAnsi="Times New Roman" w:cs="Times New Roman"/>
          <w:b/>
          <w:bCs/>
          <w:color w:val="000000" w:themeColor="text1"/>
          <w:szCs w:val="24"/>
        </w:rPr>
      </w:pPr>
    </w:p>
    <w:p w14:paraId="1DACCC2C" w14:textId="77777777" w:rsidR="00AA564A" w:rsidRPr="00C26480" w:rsidRDefault="00AA564A" w:rsidP="00AA564A">
      <w:pPr>
        <w:spacing w:line="480" w:lineRule="auto"/>
        <w:jc w:val="center"/>
        <w:rPr>
          <w:rFonts w:ascii="Times New Roman" w:hAnsi="Times New Roman" w:cs="Times New Roman"/>
          <w:b/>
          <w:bCs/>
          <w:color w:val="000000" w:themeColor="text1"/>
          <w:szCs w:val="24"/>
        </w:rPr>
      </w:pPr>
    </w:p>
    <w:p w14:paraId="092165D1" w14:textId="77777777" w:rsidR="00AA564A" w:rsidRPr="00C26480" w:rsidRDefault="00AA564A" w:rsidP="00AA564A">
      <w:pPr>
        <w:spacing w:line="480" w:lineRule="auto"/>
        <w:jc w:val="center"/>
        <w:rPr>
          <w:rFonts w:ascii="Times New Roman" w:hAnsi="Times New Roman" w:cs="Times New Roman"/>
          <w:b/>
          <w:bCs/>
          <w:color w:val="000000" w:themeColor="text1"/>
          <w:szCs w:val="24"/>
        </w:rPr>
      </w:pPr>
    </w:p>
    <w:p w14:paraId="614BAE62" w14:textId="77777777" w:rsidR="00AA564A" w:rsidRPr="00C26480" w:rsidRDefault="00AA564A" w:rsidP="00AA564A">
      <w:pPr>
        <w:spacing w:line="480" w:lineRule="auto"/>
        <w:jc w:val="center"/>
        <w:rPr>
          <w:rFonts w:ascii="Times New Roman" w:hAnsi="Times New Roman" w:cs="Times New Roman"/>
          <w:b/>
          <w:bCs/>
          <w:color w:val="000000" w:themeColor="text1"/>
          <w:szCs w:val="24"/>
        </w:rPr>
      </w:pPr>
    </w:p>
    <w:p w14:paraId="2F6DCCEE" w14:textId="77777777" w:rsidR="00AA564A" w:rsidRPr="00C26480" w:rsidRDefault="00AA564A" w:rsidP="00AA564A">
      <w:pPr>
        <w:spacing w:line="480" w:lineRule="auto"/>
        <w:jc w:val="center"/>
        <w:rPr>
          <w:rFonts w:ascii="Times New Roman" w:hAnsi="Times New Roman" w:cs="Times New Roman"/>
          <w:b/>
          <w:bCs/>
          <w:color w:val="000000" w:themeColor="text1"/>
          <w:szCs w:val="24"/>
        </w:rPr>
      </w:pPr>
    </w:p>
    <w:p w14:paraId="225B8C72" w14:textId="77777777" w:rsidR="00AA564A" w:rsidRPr="00C26480" w:rsidRDefault="00AA564A" w:rsidP="00AA564A">
      <w:pPr>
        <w:spacing w:line="480" w:lineRule="auto"/>
        <w:jc w:val="center"/>
        <w:rPr>
          <w:rFonts w:ascii="Times New Roman" w:hAnsi="Times New Roman" w:cs="Times New Roman"/>
          <w:b/>
          <w:bCs/>
          <w:color w:val="000000" w:themeColor="text1"/>
          <w:szCs w:val="24"/>
        </w:rPr>
      </w:pPr>
    </w:p>
    <w:p w14:paraId="2D27BDEB" w14:textId="77777777" w:rsidR="00AA564A" w:rsidRPr="00C26480" w:rsidRDefault="00AA564A" w:rsidP="00AA564A">
      <w:pPr>
        <w:spacing w:line="480" w:lineRule="auto"/>
        <w:jc w:val="center"/>
        <w:rPr>
          <w:rFonts w:ascii="Times New Roman" w:hAnsi="Times New Roman" w:cs="Times New Roman"/>
          <w:b/>
          <w:bCs/>
          <w:color w:val="000000" w:themeColor="text1"/>
          <w:szCs w:val="24"/>
        </w:rPr>
      </w:pPr>
    </w:p>
    <w:p w14:paraId="68ADA54E" w14:textId="77777777" w:rsidR="00AA564A" w:rsidRPr="00C26480" w:rsidRDefault="00AA564A" w:rsidP="00AA564A">
      <w:pPr>
        <w:spacing w:line="480" w:lineRule="auto"/>
        <w:rPr>
          <w:rFonts w:ascii="Times New Roman" w:hAnsi="Times New Roman" w:cs="Times New Roman"/>
          <w:b/>
          <w:bCs/>
          <w:color w:val="000000" w:themeColor="text1"/>
          <w:szCs w:val="24"/>
        </w:rPr>
      </w:pPr>
    </w:p>
    <w:p w14:paraId="68AB7F5E" w14:textId="77777777" w:rsidR="00AA564A" w:rsidRPr="00C26480" w:rsidRDefault="00AA564A" w:rsidP="00AA564A">
      <w:pPr>
        <w:pStyle w:val="Heading2"/>
        <w:rPr>
          <w:rFonts w:ascii="Times New Roman" w:hAnsi="Times New Roman" w:cs="Times New Roman"/>
          <w:b/>
          <w:bCs/>
          <w:color w:val="000000" w:themeColor="text1"/>
          <w:sz w:val="24"/>
          <w:szCs w:val="24"/>
        </w:rPr>
      </w:pPr>
      <w:bookmarkStart w:id="0" w:name="_Toc224846299"/>
      <w:r w:rsidRPr="00C26480">
        <w:rPr>
          <w:rFonts w:ascii="Times New Roman" w:hAnsi="Times New Roman" w:cs="Times New Roman"/>
          <w:b/>
          <w:bCs/>
          <w:color w:val="000000" w:themeColor="text1"/>
          <w:sz w:val="24"/>
          <w:szCs w:val="24"/>
        </w:rPr>
        <w:lastRenderedPageBreak/>
        <w:t>Abstract</w:t>
      </w:r>
      <w:bookmarkEnd w:id="0"/>
    </w:p>
    <w:p w14:paraId="164237C8" w14:textId="77777777" w:rsidR="00AA564A" w:rsidRPr="00C26480" w:rsidRDefault="00AA564A" w:rsidP="00AA564A">
      <w:pPr>
        <w:rPr>
          <w:rFonts w:ascii="Times New Roman" w:hAnsi="Times New Roman" w:cs="Times New Roman"/>
        </w:rPr>
      </w:pPr>
    </w:p>
    <w:p w14:paraId="06FF3E97" w14:textId="77777777" w:rsidR="00C26480" w:rsidRPr="00C26480" w:rsidRDefault="00C26480" w:rsidP="00C26480">
      <w:pPr>
        <w:rPr>
          <w:rFonts w:ascii="Times New Roman" w:hAnsi="Times New Roman" w:cs="Times New Roman"/>
        </w:rPr>
      </w:pPr>
      <w:r w:rsidRPr="00C26480">
        <w:rPr>
          <w:rFonts w:ascii="Times New Roman" w:hAnsi="Times New Roman" w:cs="Times New Roman"/>
        </w:rPr>
        <w:t xml:space="preserve">This report </w:t>
      </w:r>
      <w:proofErr w:type="spellStart"/>
      <w:r w:rsidRPr="00C26480">
        <w:rPr>
          <w:rFonts w:ascii="Times New Roman" w:hAnsi="Times New Roman" w:cs="Times New Roman"/>
        </w:rPr>
        <w:t>analyzes</w:t>
      </w:r>
      <w:proofErr w:type="spellEnd"/>
      <w:r w:rsidRPr="00C26480">
        <w:rPr>
          <w:rFonts w:ascii="Times New Roman" w:hAnsi="Times New Roman" w:cs="Times New Roman"/>
        </w:rPr>
        <w:t xml:space="preserve"> strategic management and decision-making in complex business contexts by using Tesla Inc. as a case study on how it responded to the global semiconductor shortage. Semiconductor crisis, which shook up international supply chains in various sectors, presented major operational problems to automotive manufacturers. The capability of Tesla to manage these disruptions offers an informative example of adaptive strategy and decision-making amid uncertainty. In contrast to several competitors who endured delays in production and financial losses, Tesla proved resilience through a reorganized supply chain and technological flexibility (Ivanov, 2021; </w:t>
      </w:r>
      <w:proofErr w:type="spellStart"/>
      <w:r w:rsidRPr="00C26480">
        <w:rPr>
          <w:rFonts w:ascii="Times New Roman" w:hAnsi="Times New Roman" w:cs="Times New Roman"/>
        </w:rPr>
        <w:t>Gereffi</w:t>
      </w:r>
      <w:proofErr w:type="spellEnd"/>
      <w:r w:rsidRPr="00C26480">
        <w:rPr>
          <w:rFonts w:ascii="Times New Roman" w:hAnsi="Times New Roman" w:cs="Times New Roman"/>
        </w:rPr>
        <w:t>, 2020).</w:t>
      </w:r>
    </w:p>
    <w:p w14:paraId="0910DF5B" w14:textId="77777777" w:rsidR="00C26480" w:rsidRPr="00C26480" w:rsidRDefault="00C26480" w:rsidP="00C26480">
      <w:pPr>
        <w:rPr>
          <w:rFonts w:ascii="Times New Roman" w:hAnsi="Times New Roman" w:cs="Times New Roman"/>
        </w:rPr>
      </w:pPr>
      <w:r w:rsidRPr="00C26480">
        <w:rPr>
          <w:rFonts w:ascii="Times New Roman" w:hAnsi="Times New Roman" w:cs="Times New Roman"/>
        </w:rPr>
        <w:t>This paper discusses strategic decision-making frameworks used by Tesla, such as dynamic capabilities, agile management, and real-time problem-solving strategies. The approach of Tesla was to redesign software to accommodate alternative semiconductor chips, bolster the relationship with suppliers, and preserve vertical integration (Teece, 2018; Pisano, 2017). These measures allowed the company to maintain production and retain its competitive edge throughout the crisis.</w:t>
      </w:r>
    </w:p>
    <w:p w14:paraId="675557E2" w14:textId="77777777" w:rsidR="00C26480" w:rsidRPr="00C26480" w:rsidRDefault="00C26480" w:rsidP="00C26480">
      <w:pPr>
        <w:rPr>
          <w:rFonts w:ascii="Times New Roman" w:hAnsi="Times New Roman" w:cs="Times New Roman"/>
        </w:rPr>
      </w:pPr>
      <w:r w:rsidRPr="00C26480">
        <w:rPr>
          <w:rFonts w:ascii="Times New Roman" w:hAnsi="Times New Roman" w:cs="Times New Roman"/>
        </w:rPr>
        <w:t>The results emphasize the significance of flexibility, innovation, and quick decision-making in coping with complex business environments. The report summarizes that Tesla was successful because of its capacity to combine strategic foresight with operational flexibility, which reveals how dynamic decision-making models are crucial in contemporary business settings.</w:t>
      </w:r>
    </w:p>
    <w:p w14:paraId="50197149" w14:textId="77777777" w:rsidR="00C26480" w:rsidRPr="00C26480" w:rsidRDefault="00C26480" w:rsidP="00C26480">
      <w:pPr>
        <w:rPr>
          <w:rFonts w:ascii="Times New Roman" w:hAnsi="Times New Roman" w:cs="Times New Roman"/>
        </w:rPr>
      </w:pPr>
    </w:p>
    <w:p w14:paraId="0562A616" w14:textId="77777777" w:rsidR="00AA564A" w:rsidRPr="00C26480" w:rsidRDefault="00AA564A" w:rsidP="00AA564A">
      <w:pPr>
        <w:rPr>
          <w:rFonts w:ascii="Times New Roman" w:hAnsi="Times New Roman" w:cs="Times New Roman"/>
        </w:rPr>
      </w:pPr>
    </w:p>
    <w:p w14:paraId="78271ED0" w14:textId="77777777" w:rsidR="00C26480" w:rsidRPr="00C26480" w:rsidRDefault="00C26480" w:rsidP="00AA564A">
      <w:pPr>
        <w:rPr>
          <w:rFonts w:ascii="Times New Roman" w:hAnsi="Times New Roman" w:cs="Times New Roman"/>
        </w:rPr>
      </w:pPr>
    </w:p>
    <w:p w14:paraId="207A74B7" w14:textId="77777777" w:rsidR="00C26480" w:rsidRPr="00C26480" w:rsidRDefault="00C26480" w:rsidP="00AA564A">
      <w:pPr>
        <w:rPr>
          <w:rFonts w:ascii="Times New Roman" w:hAnsi="Times New Roman" w:cs="Times New Roman"/>
        </w:rPr>
      </w:pPr>
    </w:p>
    <w:p w14:paraId="6197FAA1" w14:textId="77777777" w:rsidR="00C26480" w:rsidRPr="00C26480" w:rsidRDefault="00C26480" w:rsidP="00AA564A">
      <w:pPr>
        <w:rPr>
          <w:rFonts w:ascii="Times New Roman" w:hAnsi="Times New Roman" w:cs="Times New Roman"/>
        </w:rPr>
      </w:pPr>
    </w:p>
    <w:p w14:paraId="53212F4B" w14:textId="77777777" w:rsidR="00C26480" w:rsidRPr="00C26480" w:rsidRDefault="00C26480" w:rsidP="00AA564A">
      <w:pPr>
        <w:rPr>
          <w:rFonts w:ascii="Times New Roman" w:hAnsi="Times New Roman" w:cs="Times New Roman"/>
        </w:rPr>
      </w:pPr>
    </w:p>
    <w:p w14:paraId="5C48FC2C" w14:textId="77777777" w:rsidR="00C26480" w:rsidRDefault="00C26480" w:rsidP="00AA564A">
      <w:pPr>
        <w:rPr>
          <w:rFonts w:ascii="Times New Roman" w:hAnsi="Times New Roman" w:cs="Times New Roman"/>
        </w:rPr>
      </w:pPr>
    </w:p>
    <w:p w14:paraId="09592B19" w14:textId="77777777" w:rsidR="00C26480" w:rsidRPr="00C26480" w:rsidRDefault="00C26480" w:rsidP="00AA564A">
      <w:pPr>
        <w:rPr>
          <w:rFonts w:ascii="Times New Roman" w:hAnsi="Times New Roman" w:cs="Times New Roman"/>
        </w:rPr>
      </w:pPr>
    </w:p>
    <w:p w14:paraId="2FDDB381" w14:textId="77777777" w:rsidR="00C26480" w:rsidRPr="00C26480" w:rsidRDefault="00C26480" w:rsidP="00AA564A">
      <w:pPr>
        <w:rPr>
          <w:rFonts w:ascii="Times New Roman" w:hAnsi="Times New Roman" w:cs="Times New Roman"/>
        </w:rPr>
      </w:pPr>
    </w:p>
    <w:p w14:paraId="0CCB01B8" w14:textId="77777777" w:rsidR="00C26480" w:rsidRPr="00C26480" w:rsidRDefault="00C26480" w:rsidP="00AA564A">
      <w:pPr>
        <w:rPr>
          <w:rFonts w:ascii="Times New Roman" w:hAnsi="Times New Roman" w:cs="Times New Roman"/>
        </w:rPr>
      </w:pPr>
    </w:p>
    <w:p w14:paraId="1F83F857" w14:textId="77777777" w:rsidR="00C26480" w:rsidRPr="00C26480" w:rsidRDefault="00C26480" w:rsidP="00AA564A">
      <w:pPr>
        <w:rPr>
          <w:rFonts w:ascii="Times New Roman" w:hAnsi="Times New Roman" w:cs="Times New Roman"/>
        </w:rPr>
      </w:pPr>
    </w:p>
    <w:sdt>
      <w:sdtPr>
        <w:rPr>
          <w:rFonts w:ascii="Times New Roman" w:eastAsiaTheme="minorHAnsi" w:hAnsi="Times New Roman" w:cs="Times New Roman"/>
          <w:color w:val="000000" w:themeColor="text1"/>
          <w:kern w:val="2"/>
          <w:sz w:val="24"/>
          <w:szCs w:val="24"/>
          <w:lang w:val="en-GB" w:bidi="hi-IN"/>
          <w14:ligatures w14:val="standardContextual"/>
        </w:rPr>
        <w:id w:val="671619869"/>
        <w:docPartObj>
          <w:docPartGallery w:val="Table of Contents"/>
          <w:docPartUnique/>
        </w:docPartObj>
      </w:sdtPr>
      <w:sdtEndPr>
        <w:rPr>
          <w:b/>
          <w:bCs/>
          <w:noProof/>
        </w:rPr>
      </w:sdtEndPr>
      <w:sdtContent>
        <w:p w14:paraId="348A56D6" w14:textId="77777777" w:rsidR="00AA564A" w:rsidRPr="00C26480" w:rsidRDefault="00AA564A" w:rsidP="00AA564A">
          <w:pPr>
            <w:pStyle w:val="TOCHeading"/>
            <w:rPr>
              <w:rFonts w:ascii="Times New Roman" w:hAnsi="Times New Roman" w:cs="Times New Roman"/>
              <w:b/>
              <w:bCs/>
              <w:color w:val="000000" w:themeColor="text1"/>
              <w:sz w:val="24"/>
              <w:szCs w:val="24"/>
            </w:rPr>
          </w:pPr>
          <w:r w:rsidRPr="00C26480">
            <w:rPr>
              <w:rFonts w:ascii="Times New Roman" w:hAnsi="Times New Roman" w:cs="Times New Roman"/>
              <w:b/>
              <w:bCs/>
              <w:color w:val="000000" w:themeColor="text1"/>
              <w:sz w:val="24"/>
              <w:szCs w:val="24"/>
            </w:rPr>
            <w:t>Contents</w:t>
          </w:r>
        </w:p>
        <w:p w14:paraId="3A32161A" w14:textId="77777777" w:rsidR="00AA564A" w:rsidRPr="00C26480" w:rsidRDefault="00AA564A" w:rsidP="00AA564A">
          <w:pPr>
            <w:pStyle w:val="TOC2"/>
            <w:tabs>
              <w:tab w:val="right" w:leader="dot" w:pos="9350"/>
            </w:tabs>
            <w:rPr>
              <w:rFonts w:ascii="Times New Roman" w:hAnsi="Times New Roman" w:cs="Times New Roman"/>
              <w:noProof/>
              <w:color w:val="000000" w:themeColor="text1"/>
              <w:szCs w:val="24"/>
            </w:rPr>
          </w:pPr>
          <w:r w:rsidRPr="00C26480">
            <w:rPr>
              <w:rFonts w:ascii="Times New Roman" w:hAnsi="Times New Roman" w:cs="Times New Roman"/>
              <w:color w:val="000000" w:themeColor="text1"/>
              <w:szCs w:val="24"/>
            </w:rPr>
            <w:fldChar w:fldCharType="begin"/>
          </w:r>
          <w:r w:rsidRPr="00C26480">
            <w:rPr>
              <w:rFonts w:ascii="Times New Roman" w:hAnsi="Times New Roman" w:cs="Times New Roman"/>
              <w:color w:val="000000" w:themeColor="text1"/>
              <w:szCs w:val="24"/>
            </w:rPr>
            <w:instrText xml:space="preserve"> TOC \o "1-3" \h \z \u </w:instrText>
          </w:r>
          <w:r w:rsidRPr="00C26480">
            <w:rPr>
              <w:rFonts w:ascii="Times New Roman" w:hAnsi="Times New Roman" w:cs="Times New Roman"/>
              <w:color w:val="000000" w:themeColor="text1"/>
              <w:szCs w:val="24"/>
            </w:rPr>
            <w:fldChar w:fldCharType="separate"/>
          </w:r>
          <w:hyperlink w:anchor="_Toc224846299" w:history="1">
            <w:r w:rsidRPr="00C26480">
              <w:rPr>
                <w:rStyle w:val="Hyperlink"/>
                <w:rFonts w:ascii="Times New Roman" w:hAnsi="Times New Roman" w:cs="Times New Roman"/>
                <w:noProof/>
                <w:color w:val="000000" w:themeColor="text1"/>
                <w:szCs w:val="24"/>
              </w:rPr>
              <w:t>Abstract</w:t>
            </w:r>
            <w:r w:rsidRPr="00C26480">
              <w:rPr>
                <w:rFonts w:ascii="Times New Roman" w:hAnsi="Times New Roman" w:cs="Times New Roman"/>
                <w:noProof/>
                <w:webHidden/>
                <w:color w:val="000000" w:themeColor="text1"/>
                <w:szCs w:val="24"/>
              </w:rPr>
              <w:tab/>
            </w:r>
            <w:r w:rsidRPr="00C26480">
              <w:rPr>
                <w:rFonts w:ascii="Times New Roman" w:hAnsi="Times New Roman" w:cs="Times New Roman"/>
                <w:noProof/>
                <w:webHidden/>
                <w:color w:val="000000" w:themeColor="text1"/>
                <w:szCs w:val="24"/>
              </w:rPr>
              <w:fldChar w:fldCharType="begin"/>
            </w:r>
            <w:r w:rsidRPr="00C26480">
              <w:rPr>
                <w:rFonts w:ascii="Times New Roman" w:hAnsi="Times New Roman" w:cs="Times New Roman"/>
                <w:noProof/>
                <w:webHidden/>
                <w:color w:val="000000" w:themeColor="text1"/>
                <w:szCs w:val="24"/>
              </w:rPr>
              <w:instrText xml:space="preserve"> PAGEREF _Toc224846299 \h </w:instrText>
            </w:r>
            <w:r w:rsidRPr="00C26480">
              <w:rPr>
                <w:rFonts w:ascii="Times New Roman" w:hAnsi="Times New Roman" w:cs="Times New Roman"/>
                <w:noProof/>
                <w:webHidden/>
                <w:color w:val="000000" w:themeColor="text1"/>
                <w:szCs w:val="24"/>
              </w:rPr>
            </w:r>
            <w:r w:rsidRPr="00C26480">
              <w:rPr>
                <w:rFonts w:ascii="Times New Roman" w:hAnsi="Times New Roman" w:cs="Times New Roman"/>
                <w:noProof/>
                <w:webHidden/>
                <w:color w:val="000000" w:themeColor="text1"/>
                <w:szCs w:val="24"/>
              </w:rPr>
              <w:fldChar w:fldCharType="separate"/>
            </w:r>
            <w:r w:rsidRPr="00C26480">
              <w:rPr>
                <w:rFonts w:ascii="Times New Roman" w:hAnsi="Times New Roman" w:cs="Times New Roman"/>
                <w:noProof/>
                <w:webHidden/>
                <w:color w:val="000000" w:themeColor="text1"/>
                <w:szCs w:val="24"/>
              </w:rPr>
              <w:t>2</w:t>
            </w:r>
            <w:r w:rsidRPr="00C26480">
              <w:rPr>
                <w:rFonts w:ascii="Times New Roman" w:hAnsi="Times New Roman" w:cs="Times New Roman"/>
                <w:noProof/>
                <w:webHidden/>
                <w:color w:val="000000" w:themeColor="text1"/>
                <w:szCs w:val="24"/>
              </w:rPr>
              <w:fldChar w:fldCharType="end"/>
            </w:r>
          </w:hyperlink>
        </w:p>
        <w:p w14:paraId="2E86AC6D" w14:textId="77777777" w:rsidR="00AA564A" w:rsidRPr="00C26480" w:rsidRDefault="00AA564A" w:rsidP="00AA564A">
          <w:pPr>
            <w:pStyle w:val="TOC2"/>
            <w:tabs>
              <w:tab w:val="right" w:leader="dot" w:pos="9350"/>
            </w:tabs>
            <w:rPr>
              <w:rFonts w:ascii="Times New Roman" w:hAnsi="Times New Roman" w:cs="Times New Roman"/>
              <w:noProof/>
              <w:color w:val="000000" w:themeColor="text1"/>
              <w:szCs w:val="24"/>
            </w:rPr>
          </w:pPr>
          <w:hyperlink w:anchor="_Toc224846300" w:history="1">
            <w:r w:rsidRPr="00C26480">
              <w:rPr>
                <w:rStyle w:val="Hyperlink"/>
                <w:rFonts w:ascii="Times New Roman" w:hAnsi="Times New Roman" w:cs="Times New Roman"/>
                <w:noProof/>
                <w:color w:val="000000" w:themeColor="text1"/>
                <w:szCs w:val="24"/>
              </w:rPr>
              <w:t>Introduction</w:t>
            </w:r>
            <w:r w:rsidRPr="00C26480">
              <w:rPr>
                <w:rFonts w:ascii="Times New Roman" w:hAnsi="Times New Roman" w:cs="Times New Roman"/>
                <w:noProof/>
                <w:webHidden/>
                <w:color w:val="000000" w:themeColor="text1"/>
                <w:szCs w:val="24"/>
              </w:rPr>
              <w:tab/>
            </w:r>
            <w:r w:rsidRPr="00C26480">
              <w:rPr>
                <w:rFonts w:ascii="Times New Roman" w:hAnsi="Times New Roman" w:cs="Times New Roman"/>
                <w:noProof/>
                <w:webHidden/>
                <w:color w:val="000000" w:themeColor="text1"/>
                <w:szCs w:val="24"/>
              </w:rPr>
              <w:fldChar w:fldCharType="begin"/>
            </w:r>
            <w:r w:rsidRPr="00C26480">
              <w:rPr>
                <w:rFonts w:ascii="Times New Roman" w:hAnsi="Times New Roman" w:cs="Times New Roman"/>
                <w:noProof/>
                <w:webHidden/>
                <w:color w:val="000000" w:themeColor="text1"/>
                <w:szCs w:val="24"/>
              </w:rPr>
              <w:instrText xml:space="preserve"> PAGEREF _Toc224846300 \h </w:instrText>
            </w:r>
            <w:r w:rsidRPr="00C26480">
              <w:rPr>
                <w:rFonts w:ascii="Times New Roman" w:hAnsi="Times New Roman" w:cs="Times New Roman"/>
                <w:noProof/>
                <w:webHidden/>
                <w:color w:val="000000" w:themeColor="text1"/>
                <w:szCs w:val="24"/>
              </w:rPr>
            </w:r>
            <w:r w:rsidRPr="00C26480">
              <w:rPr>
                <w:rFonts w:ascii="Times New Roman" w:hAnsi="Times New Roman" w:cs="Times New Roman"/>
                <w:noProof/>
                <w:webHidden/>
                <w:color w:val="000000" w:themeColor="text1"/>
                <w:szCs w:val="24"/>
              </w:rPr>
              <w:fldChar w:fldCharType="separate"/>
            </w:r>
            <w:r w:rsidRPr="00C26480">
              <w:rPr>
                <w:rFonts w:ascii="Times New Roman" w:hAnsi="Times New Roman" w:cs="Times New Roman"/>
                <w:noProof/>
                <w:webHidden/>
                <w:color w:val="000000" w:themeColor="text1"/>
                <w:szCs w:val="24"/>
              </w:rPr>
              <w:t>4</w:t>
            </w:r>
            <w:r w:rsidRPr="00C26480">
              <w:rPr>
                <w:rFonts w:ascii="Times New Roman" w:hAnsi="Times New Roman" w:cs="Times New Roman"/>
                <w:noProof/>
                <w:webHidden/>
                <w:color w:val="000000" w:themeColor="text1"/>
                <w:szCs w:val="24"/>
              </w:rPr>
              <w:fldChar w:fldCharType="end"/>
            </w:r>
          </w:hyperlink>
        </w:p>
        <w:p w14:paraId="7F91A849" w14:textId="77777777" w:rsidR="00AA564A" w:rsidRPr="00C26480" w:rsidRDefault="00AA564A" w:rsidP="00AA564A">
          <w:pPr>
            <w:pStyle w:val="TOC2"/>
            <w:tabs>
              <w:tab w:val="right" w:leader="dot" w:pos="9350"/>
            </w:tabs>
            <w:rPr>
              <w:rFonts w:ascii="Times New Roman" w:hAnsi="Times New Roman" w:cs="Times New Roman"/>
              <w:noProof/>
              <w:color w:val="000000" w:themeColor="text1"/>
              <w:szCs w:val="24"/>
            </w:rPr>
          </w:pPr>
          <w:hyperlink w:anchor="_Toc224846301" w:history="1">
            <w:r w:rsidRPr="00C26480">
              <w:rPr>
                <w:rStyle w:val="Hyperlink"/>
                <w:rFonts w:ascii="Times New Roman" w:hAnsi="Times New Roman" w:cs="Times New Roman"/>
                <w:noProof/>
                <w:color w:val="000000" w:themeColor="text1"/>
                <w:szCs w:val="24"/>
              </w:rPr>
              <w:t>Literature Review</w:t>
            </w:r>
            <w:r w:rsidRPr="00C26480">
              <w:rPr>
                <w:rFonts w:ascii="Times New Roman" w:hAnsi="Times New Roman" w:cs="Times New Roman"/>
                <w:noProof/>
                <w:webHidden/>
                <w:color w:val="000000" w:themeColor="text1"/>
                <w:szCs w:val="24"/>
              </w:rPr>
              <w:tab/>
            </w:r>
            <w:r w:rsidRPr="00C26480">
              <w:rPr>
                <w:rFonts w:ascii="Times New Roman" w:hAnsi="Times New Roman" w:cs="Times New Roman"/>
                <w:noProof/>
                <w:webHidden/>
                <w:color w:val="000000" w:themeColor="text1"/>
                <w:szCs w:val="24"/>
              </w:rPr>
              <w:fldChar w:fldCharType="begin"/>
            </w:r>
            <w:r w:rsidRPr="00C26480">
              <w:rPr>
                <w:rFonts w:ascii="Times New Roman" w:hAnsi="Times New Roman" w:cs="Times New Roman"/>
                <w:noProof/>
                <w:webHidden/>
                <w:color w:val="000000" w:themeColor="text1"/>
                <w:szCs w:val="24"/>
              </w:rPr>
              <w:instrText xml:space="preserve"> PAGEREF _Toc224846301 \h </w:instrText>
            </w:r>
            <w:r w:rsidRPr="00C26480">
              <w:rPr>
                <w:rFonts w:ascii="Times New Roman" w:hAnsi="Times New Roman" w:cs="Times New Roman"/>
                <w:noProof/>
                <w:webHidden/>
                <w:color w:val="000000" w:themeColor="text1"/>
                <w:szCs w:val="24"/>
              </w:rPr>
            </w:r>
            <w:r w:rsidRPr="00C26480">
              <w:rPr>
                <w:rFonts w:ascii="Times New Roman" w:hAnsi="Times New Roman" w:cs="Times New Roman"/>
                <w:noProof/>
                <w:webHidden/>
                <w:color w:val="000000" w:themeColor="text1"/>
                <w:szCs w:val="24"/>
              </w:rPr>
              <w:fldChar w:fldCharType="separate"/>
            </w:r>
            <w:r w:rsidRPr="00C26480">
              <w:rPr>
                <w:rFonts w:ascii="Times New Roman" w:hAnsi="Times New Roman" w:cs="Times New Roman"/>
                <w:noProof/>
                <w:webHidden/>
                <w:color w:val="000000" w:themeColor="text1"/>
                <w:szCs w:val="24"/>
              </w:rPr>
              <w:t>6</w:t>
            </w:r>
            <w:r w:rsidRPr="00C26480">
              <w:rPr>
                <w:rFonts w:ascii="Times New Roman" w:hAnsi="Times New Roman" w:cs="Times New Roman"/>
                <w:noProof/>
                <w:webHidden/>
                <w:color w:val="000000" w:themeColor="text1"/>
                <w:szCs w:val="24"/>
              </w:rPr>
              <w:fldChar w:fldCharType="end"/>
            </w:r>
          </w:hyperlink>
        </w:p>
        <w:p w14:paraId="11F1FECB" w14:textId="77777777" w:rsidR="00AA564A" w:rsidRPr="00C26480" w:rsidRDefault="00AA564A" w:rsidP="00AA564A">
          <w:pPr>
            <w:pStyle w:val="TOC2"/>
            <w:tabs>
              <w:tab w:val="right" w:leader="dot" w:pos="9350"/>
            </w:tabs>
            <w:rPr>
              <w:rFonts w:ascii="Times New Roman" w:hAnsi="Times New Roman" w:cs="Times New Roman"/>
              <w:noProof/>
              <w:color w:val="000000" w:themeColor="text1"/>
              <w:szCs w:val="24"/>
            </w:rPr>
          </w:pPr>
          <w:hyperlink w:anchor="_Toc224846302" w:history="1">
            <w:r w:rsidRPr="00C26480">
              <w:rPr>
                <w:rStyle w:val="Hyperlink"/>
                <w:rFonts w:ascii="Times New Roman" w:hAnsi="Times New Roman" w:cs="Times New Roman"/>
                <w:noProof/>
                <w:color w:val="000000" w:themeColor="text1"/>
                <w:szCs w:val="24"/>
              </w:rPr>
              <w:t>Methodology</w:t>
            </w:r>
            <w:r w:rsidRPr="00C26480">
              <w:rPr>
                <w:rFonts w:ascii="Times New Roman" w:hAnsi="Times New Roman" w:cs="Times New Roman"/>
                <w:noProof/>
                <w:webHidden/>
                <w:color w:val="000000" w:themeColor="text1"/>
                <w:szCs w:val="24"/>
              </w:rPr>
              <w:tab/>
            </w:r>
            <w:r w:rsidRPr="00C26480">
              <w:rPr>
                <w:rFonts w:ascii="Times New Roman" w:hAnsi="Times New Roman" w:cs="Times New Roman"/>
                <w:noProof/>
                <w:webHidden/>
                <w:color w:val="000000" w:themeColor="text1"/>
                <w:szCs w:val="24"/>
              </w:rPr>
              <w:fldChar w:fldCharType="begin"/>
            </w:r>
            <w:r w:rsidRPr="00C26480">
              <w:rPr>
                <w:rFonts w:ascii="Times New Roman" w:hAnsi="Times New Roman" w:cs="Times New Roman"/>
                <w:noProof/>
                <w:webHidden/>
                <w:color w:val="000000" w:themeColor="text1"/>
                <w:szCs w:val="24"/>
              </w:rPr>
              <w:instrText xml:space="preserve"> PAGEREF _Toc224846302 \h </w:instrText>
            </w:r>
            <w:r w:rsidRPr="00C26480">
              <w:rPr>
                <w:rFonts w:ascii="Times New Roman" w:hAnsi="Times New Roman" w:cs="Times New Roman"/>
                <w:noProof/>
                <w:webHidden/>
                <w:color w:val="000000" w:themeColor="text1"/>
                <w:szCs w:val="24"/>
              </w:rPr>
            </w:r>
            <w:r w:rsidRPr="00C26480">
              <w:rPr>
                <w:rFonts w:ascii="Times New Roman" w:hAnsi="Times New Roman" w:cs="Times New Roman"/>
                <w:noProof/>
                <w:webHidden/>
                <w:color w:val="000000" w:themeColor="text1"/>
                <w:szCs w:val="24"/>
              </w:rPr>
              <w:fldChar w:fldCharType="separate"/>
            </w:r>
            <w:r w:rsidRPr="00C26480">
              <w:rPr>
                <w:rFonts w:ascii="Times New Roman" w:hAnsi="Times New Roman" w:cs="Times New Roman"/>
                <w:noProof/>
                <w:webHidden/>
                <w:color w:val="000000" w:themeColor="text1"/>
                <w:szCs w:val="24"/>
              </w:rPr>
              <w:t>9</w:t>
            </w:r>
            <w:r w:rsidRPr="00C26480">
              <w:rPr>
                <w:rFonts w:ascii="Times New Roman" w:hAnsi="Times New Roman" w:cs="Times New Roman"/>
                <w:noProof/>
                <w:webHidden/>
                <w:color w:val="000000" w:themeColor="text1"/>
                <w:szCs w:val="24"/>
              </w:rPr>
              <w:fldChar w:fldCharType="end"/>
            </w:r>
          </w:hyperlink>
        </w:p>
        <w:p w14:paraId="0BC87868" w14:textId="77777777" w:rsidR="00AA564A" w:rsidRPr="00C26480" w:rsidRDefault="00AA564A" w:rsidP="00AA564A">
          <w:pPr>
            <w:pStyle w:val="TOC2"/>
            <w:tabs>
              <w:tab w:val="right" w:leader="dot" w:pos="9350"/>
            </w:tabs>
            <w:rPr>
              <w:rFonts w:ascii="Times New Roman" w:hAnsi="Times New Roman" w:cs="Times New Roman"/>
              <w:noProof/>
              <w:color w:val="000000" w:themeColor="text1"/>
              <w:szCs w:val="24"/>
            </w:rPr>
          </w:pPr>
          <w:hyperlink w:anchor="_Toc224846303" w:history="1">
            <w:r w:rsidRPr="00C26480">
              <w:rPr>
                <w:rStyle w:val="Hyperlink"/>
                <w:rFonts w:ascii="Times New Roman" w:hAnsi="Times New Roman" w:cs="Times New Roman"/>
                <w:noProof/>
                <w:color w:val="000000" w:themeColor="text1"/>
                <w:szCs w:val="24"/>
              </w:rPr>
              <w:t>Methodology</w:t>
            </w:r>
            <w:r w:rsidRPr="00C26480">
              <w:rPr>
                <w:rFonts w:ascii="Times New Roman" w:hAnsi="Times New Roman" w:cs="Times New Roman"/>
                <w:noProof/>
                <w:webHidden/>
                <w:color w:val="000000" w:themeColor="text1"/>
                <w:szCs w:val="24"/>
              </w:rPr>
              <w:tab/>
            </w:r>
            <w:r w:rsidRPr="00C26480">
              <w:rPr>
                <w:rFonts w:ascii="Times New Roman" w:hAnsi="Times New Roman" w:cs="Times New Roman"/>
                <w:noProof/>
                <w:webHidden/>
                <w:color w:val="000000" w:themeColor="text1"/>
                <w:szCs w:val="24"/>
              </w:rPr>
              <w:fldChar w:fldCharType="begin"/>
            </w:r>
            <w:r w:rsidRPr="00C26480">
              <w:rPr>
                <w:rFonts w:ascii="Times New Roman" w:hAnsi="Times New Roman" w:cs="Times New Roman"/>
                <w:noProof/>
                <w:webHidden/>
                <w:color w:val="000000" w:themeColor="text1"/>
                <w:szCs w:val="24"/>
              </w:rPr>
              <w:instrText xml:space="preserve"> PAGEREF _Toc224846303 \h </w:instrText>
            </w:r>
            <w:r w:rsidRPr="00C26480">
              <w:rPr>
                <w:rFonts w:ascii="Times New Roman" w:hAnsi="Times New Roman" w:cs="Times New Roman"/>
                <w:noProof/>
                <w:webHidden/>
                <w:color w:val="000000" w:themeColor="text1"/>
                <w:szCs w:val="24"/>
              </w:rPr>
            </w:r>
            <w:r w:rsidRPr="00C26480">
              <w:rPr>
                <w:rFonts w:ascii="Times New Roman" w:hAnsi="Times New Roman" w:cs="Times New Roman"/>
                <w:noProof/>
                <w:webHidden/>
                <w:color w:val="000000" w:themeColor="text1"/>
                <w:szCs w:val="24"/>
              </w:rPr>
              <w:fldChar w:fldCharType="separate"/>
            </w:r>
            <w:r w:rsidRPr="00C26480">
              <w:rPr>
                <w:rFonts w:ascii="Times New Roman" w:hAnsi="Times New Roman" w:cs="Times New Roman"/>
                <w:noProof/>
                <w:webHidden/>
                <w:color w:val="000000" w:themeColor="text1"/>
                <w:szCs w:val="24"/>
              </w:rPr>
              <w:t>11</w:t>
            </w:r>
            <w:r w:rsidRPr="00C26480">
              <w:rPr>
                <w:rFonts w:ascii="Times New Roman" w:hAnsi="Times New Roman" w:cs="Times New Roman"/>
                <w:noProof/>
                <w:webHidden/>
                <w:color w:val="000000" w:themeColor="text1"/>
                <w:szCs w:val="24"/>
              </w:rPr>
              <w:fldChar w:fldCharType="end"/>
            </w:r>
          </w:hyperlink>
        </w:p>
        <w:p w14:paraId="24BFEC46" w14:textId="77777777" w:rsidR="00AA564A" w:rsidRPr="00C26480" w:rsidRDefault="00AA564A" w:rsidP="00AA564A">
          <w:pPr>
            <w:pStyle w:val="TOC2"/>
            <w:tabs>
              <w:tab w:val="right" w:leader="dot" w:pos="9350"/>
            </w:tabs>
            <w:rPr>
              <w:rFonts w:ascii="Times New Roman" w:hAnsi="Times New Roman" w:cs="Times New Roman"/>
              <w:noProof/>
              <w:color w:val="000000" w:themeColor="text1"/>
              <w:szCs w:val="24"/>
            </w:rPr>
          </w:pPr>
          <w:hyperlink w:anchor="_Toc224846304" w:history="1">
            <w:r w:rsidRPr="00C26480">
              <w:rPr>
                <w:rStyle w:val="Hyperlink"/>
                <w:rFonts w:ascii="Times New Roman" w:hAnsi="Times New Roman" w:cs="Times New Roman"/>
                <w:noProof/>
                <w:color w:val="000000" w:themeColor="text1"/>
                <w:szCs w:val="24"/>
              </w:rPr>
              <w:t>Findings</w:t>
            </w:r>
            <w:r w:rsidRPr="00C26480">
              <w:rPr>
                <w:rFonts w:ascii="Times New Roman" w:hAnsi="Times New Roman" w:cs="Times New Roman"/>
                <w:noProof/>
                <w:webHidden/>
                <w:color w:val="000000" w:themeColor="text1"/>
                <w:szCs w:val="24"/>
              </w:rPr>
              <w:tab/>
            </w:r>
            <w:r w:rsidRPr="00C26480">
              <w:rPr>
                <w:rFonts w:ascii="Times New Roman" w:hAnsi="Times New Roman" w:cs="Times New Roman"/>
                <w:noProof/>
                <w:webHidden/>
                <w:color w:val="000000" w:themeColor="text1"/>
                <w:szCs w:val="24"/>
              </w:rPr>
              <w:fldChar w:fldCharType="begin"/>
            </w:r>
            <w:r w:rsidRPr="00C26480">
              <w:rPr>
                <w:rFonts w:ascii="Times New Roman" w:hAnsi="Times New Roman" w:cs="Times New Roman"/>
                <w:noProof/>
                <w:webHidden/>
                <w:color w:val="000000" w:themeColor="text1"/>
                <w:szCs w:val="24"/>
              </w:rPr>
              <w:instrText xml:space="preserve"> PAGEREF _Toc224846304 \h </w:instrText>
            </w:r>
            <w:r w:rsidRPr="00C26480">
              <w:rPr>
                <w:rFonts w:ascii="Times New Roman" w:hAnsi="Times New Roman" w:cs="Times New Roman"/>
                <w:noProof/>
                <w:webHidden/>
                <w:color w:val="000000" w:themeColor="text1"/>
                <w:szCs w:val="24"/>
              </w:rPr>
            </w:r>
            <w:r w:rsidRPr="00C26480">
              <w:rPr>
                <w:rFonts w:ascii="Times New Roman" w:hAnsi="Times New Roman" w:cs="Times New Roman"/>
                <w:noProof/>
                <w:webHidden/>
                <w:color w:val="000000" w:themeColor="text1"/>
                <w:szCs w:val="24"/>
              </w:rPr>
              <w:fldChar w:fldCharType="separate"/>
            </w:r>
            <w:r w:rsidRPr="00C26480">
              <w:rPr>
                <w:rFonts w:ascii="Times New Roman" w:hAnsi="Times New Roman" w:cs="Times New Roman"/>
                <w:noProof/>
                <w:webHidden/>
                <w:color w:val="000000" w:themeColor="text1"/>
                <w:szCs w:val="24"/>
              </w:rPr>
              <w:t>13</w:t>
            </w:r>
            <w:r w:rsidRPr="00C26480">
              <w:rPr>
                <w:rFonts w:ascii="Times New Roman" w:hAnsi="Times New Roman" w:cs="Times New Roman"/>
                <w:noProof/>
                <w:webHidden/>
                <w:color w:val="000000" w:themeColor="text1"/>
                <w:szCs w:val="24"/>
              </w:rPr>
              <w:fldChar w:fldCharType="end"/>
            </w:r>
          </w:hyperlink>
        </w:p>
        <w:p w14:paraId="71D7FFA3" w14:textId="77777777" w:rsidR="00AA564A" w:rsidRPr="00C26480" w:rsidRDefault="00AA564A" w:rsidP="00AA564A">
          <w:pPr>
            <w:pStyle w:val="TOC2"/>
            <w:tabs>
              <w:tab w:val="right" w:leader="dot" w:pos="9350"/>
            </w:tabs>
            <w:rPr>
              <w:rFonts w:ascii="Times New Roman" w:hAnsi="Times New Roman" w:cs="Times New Roman"/>
              <w:noProof/>
              <w:color w:val="000000" w:themeColor="text1"/>
              <w:szCs w:val="24"/>
            </w:rPr>
          </w:pPr>
          <w:hyperlink w:anchor="_Toc224846305" w:history="1">
            <w:r w:rsidRPr="00C26480">
              <w:rPr>
                <w:rStyle w:val="Hyperlink"/>
                <w:rFonts w:ascii="Times New Roman" w:hAnsi="Times New Roman" w:cs="Times New Roman"/>
                <w:noProof/>
                <w:color w:val="000000" w:themeColor="text1"/>
                <w:szCs w:val="24"/>
              </w:rPr>
              <w:t>Discussion</w:t>
            </w:r>
            <w:r w:rsidRPr="00C26480">
              <w:rPr>
                <w:rFonts w:ascii="Times New Roman" w:hAnsi="Times New Roman" w:cs="Times New Roman"/>
                <w:noProof/>
                <w:webHidden/>
                <w:color w:val="000000" w:themeColor="text1"/>
                <w:szCs w:val="24"/>
              </w:rPr>
              <w:tab/>
            </w:r>
            <w:r w:rsidRPr="00C26480">
              <w:rPr>
                <w:rFonts w:ascii="Times New Roman" w:hAnsi="Times New Roman" w:cs="Times New Roman"/>
                <w:noProof/>
                <w:webHidden/>
                <w:color w:val="000000" w:themeColor="text1"/>
                <w:szCs w:val="24"/>
              </w:rPr>
              <w:fldChar w:fldCharType="begin"/>
            </w:r>
            <w:r w:rsidRPr="00C26480">
              <w:rPr>
                <w:rFonts w:ascii="Times New Roman" w:hAnsi="Times New Roman" w:cs="Times New Roman"/>
                <w:noProof/>
                <w:webHidden/>
                <w:color w:val="000000" w:themeColor="text1"/>
                <w:szCs w:val="24"/>
              </w:rPr>
              <w:instrText xml:space="preserve"> PAGEREF _Toc224846305 \h </w:instrText>
            </w:r>
            <w:r w:rsidRPr="00C26480">
              <w:rPr>
                <w:rFonts w:ascii="Times New Roman" w:hAnsi="Times New Roman" w:cs="Times New Roman"/>
                <w:noProof/>
                <w:webHidden/>
                <w:color w:val="000000" w:themeColor="text1"/>
                <w:szCs w:val="24"/>
              </w:rPr>
            </w:r>
            <w:r w:rsidRPr="00C26480">
              <w:rPr>
                <w:rFonts w:ascii="Times New Roman" w:hAnsi="Times New Roman" w:cs="Times New Roman"/>
                <w:noProof/>
                <w:webHidden/>
                <w:color w:val="000000" w:themeColor="text1"/>
                <w:szCs w:val="24"/>
              </w:rPr>
              <w:fldChar w:fldCharType="separate"/>
            </w:r>
            <w:r w:rsidRPr="00C26480">
              <w:rPr>
                <w:rFonts w:ascii="Times New Roman" w:hAnsi="Times New Roman" w:cs="Times New Roman"/>
                <w:noProof/>
                <w:webHidden/>
                <w:color w:val="000000" w:themeColor="text1"/>
                <w:szCs w:val="24"/>
              </w:rPr>
              <w:t>16</w:t>
            </w:r>
            <w:r w:rsidRPr="00C26480">
              <w:rPr>
                <w:rFonts w:ascii="Times New Roman" w:hAnsi="Times New Roman" w:cs="Times New Roman"/>
                <w:noProof/>
                <w:webHidden/>
                <w:color w:val="000000" w:themeColor="text1"/>
                <w:szCs w:val="24"/>
              </w:rPr>
              <w:fldChar w:fldCharType="end"/>
            </w:r>
          </w:hyperlink>
        </w:p>
        <w:p w14:paraId="0676F1A0" w14:textId="77777777" w:rsidR="00AA564A" w:rsidRPr="00C26480" w:rsidRDefault="00AA564A" w:rsidP="00AA564A">
          <w:pPr>
            <w:pStyle w:val="TOC2"/>
            <w:tabs>
              <w:tab w:val="right" w:leader="dot" w:pos="9350"/>
            </w:tabs>
            <w:rPr>
              <w:rFonts w:ascii="Times New Roman" w:hAnsi="Times New Roman" w:cs="Times New Roman"/>
              <w:noProof/>
              <w:color w:val="000000" w:themeColor="text1"/>
              <w:szCs w:val="24"/>
            </w:rPr>
          </w:pPr>
          <w:hyperlink w:anchor="_Toc224846306" w:history="1">
            <w:r w:rsidRPr="00C26480">
              <w:rPr>
                <w:rStyle w:val="Hyperlink"/>
                <w:rFonts w:ascii="Times New Roman" w:hAnsi="Times New Roman" w:cs="Times New Roman"/>
                <w:noProof/>
                <w:color w:val="000000" w:themeColor="text1"/>
                <w:szCs w:val="24"/>
              </w:rPr>
              <w:t>Conclusion</w:t>
            </w:r>
            <w:r w:rsidRPr="00C26480">
              <w:rPr>
                <w:rFonts w:ascii="Times New Roman" w:hAnsi="Times New Roman" w:cs="Times New Roman"/>
                <w:noProof/>
                <w:webHidden/>
                <w:color w:val="000000" w:themeColor="text1"/>
                <w:szCs w:val="24"/>
              </w:rPr>
              <w:tab/>
            </w:r>
            <w:r w:rsidRPr="00C26480">
              <w:rPr>
                <w:rFonts w:ascii="Times New Roman" w:hAnsi="Times New Roman" w:cs="Times New Roman"/>
                <w:noProof/>
                <w:webHidden/>
                <w:color w:val="000000" w:themeColor="text1"/>
                <w:szCs w:val="24"/>
              </w:rPr>
              <w:fldChar w:fldCharType="begin"/>
            </w:r>
            <w:r w:rsidRPr="00C26480">
              <w:rPr>
                <w:rFonts w:ascii="Times New Roman" w:hAnsi="Times New Roman" w:cs="Times New Roman"/>
                <w:noProof/>
                <w:webHidden/>
                <w:color w:val="000000" w:themeColor="text1"/>
                <w:szCs w:val="24"/>
              </w:rPr>
              <w:instrText xml:space="preserve"> PAGEREF _Toc224846306 \h </w:instrText>
            </w:r>
            <w:r w:rsidRPr="00C26480">
              <w:rPr>
                <w:rFonts w:ascii="Times New Roman" w:hAnsi="Times New Roman" w:cs="Times New Roman"/>
                <w:noProof/>
                <w:webHidden/>
                <w:color w:val="000000" w:themeColor="text1"/>
                <w:szCs w:val="24"/>
              </w:rPr>
            </w:r>
            <w:r w:rsidRPr="00C26480">
              <w:rPr>
                <w:rFonts w:ascii="Times New Roman" w:hAnsi="Times New Roman" w:cs="Times New Roman"/>
                <w:noProof/>
                <w:webHidden/>
                <w:color w:val="000000" w:themeColor="text1"/>
                <w:szCs w:val="24"/>
              </w:rPr>
              <w:fldChar w:fldCharType="separate"/>
            </w:r>
            <w:r w:rsidRPr="00C26480">
              <w:rPr>
                <w:rFonts w:ascii="Times New Roman" w:hAnsi="Times New Roman" w:cs="Times New Roman"/>
                <w:noProof/>
                <w:webHidden/>
                <w:color w:val="000000" w:themeColor="text1"/>
                <w:szCs w:val="24"/>
              </w:rPr>
              <w:t>20</w:t>
            </w:r>
            <w:r w:rsidRPr="00C26480">
              <w:rPr>
                <w:rFonts w:ascii="Times New Roman" w:hAnsi="Times New Roman" w:cs="Times New Roman"/>
                <w:noProof/>
                <w:webHidden/>
                <w:color w:val="000000" w:themeColor="text1"/>
                <w:szCs w:val="24"/>
              </w:rPr>
              <w:fldChar w:fldCharType="end"/>
            </w:r>
          </w:hyperlink>
        </w:p>
        <w:p w14:paraId="1C203FB3" w14:textId="77777777" w:rsidR="00AA564A" w:rsidRPr="00C26480" w:rsidRDefault="00AA564A" w:rsidP="00AA564A">
          <w:pPr>
            <w:pStyle w:val="TOC2"/>
            <w:tabs>
              <w:tab w:val="right" w:leader="dot" w:pos="9350"/>
            </w:tabs>
            <w:rPr>
              <w:rFonts w:ascii="Times New Roman" w:hAnsi="Times New Roman" w:cs="Times New Roman"/>
              <w:noProof/>
              <w:color w:val="000000" w:themeColor="text1"/>
              <w:szCs w:val="24"/>
            </w:rPr>
          </w:pPr>
          <w:hyperlink w:anchor="_Toc224846307" w:history="1">
            <w:r w:rsidRPr="00C26480">
              <w:rPr>
                <w:rStyle w:val="Hyperlink"/>
                <w:rFonts w:ascii="Times New Roman" w:hAnsi="Times New Roman" w:cs="Times New Roman"/>
                <w:noProof/>
                <w:color w:val="000000" w:themeColor="text1"/>
                <w:szCs w:val="24"/>
              </w:rPr>
              <w:t>References</w:t>
            </w:r>
            <w:r w:rsidRPr="00C26480">
              <w:rPr>
                <w:rFonts w:ascii="Times New Roman" w:hAnsi="Times New Roman" w:cs="Times New Roman"/>
                <w:noProof/>
                <w:webHidden/>
                <w:color w:val="000000" w:themeColor="text1"/>
                <w:szCs w:val="24"/>
              </w:rPr>
              <w:tab/>
            </w:r>
            <w:r w:rsidRPr="00C26480">
              <w:rPr>
                <w:rFonts w:ascii="Times New Roman" w:hAnsi="Times New Roman" w:cs="Times New Roman"/>
                <w:noProof/>
                <w:webHidden/>
                <w:color w:val="000000" w:themeColor="text1"/>
                <w:szCs w:val="24"/>
              </w:rPr>
              <w:fldChar w:fldCharType="begin"/>
            </w:r>
            <w:r w:rsidRPr="00C26480">
              <w:rPr>
                <w:rFonts w:ascii="Times New Roman" w:hAnsi="Times New Roman" w:cs="Times New Roman"/>
                <w:noProof/>
                <w:webHidden/>
                <w:color w:val="000000" w:themeColor="text1"/>
                <w:szCs w:val="24"/>
              </w:rPr>
              <w:instrText xml:space="preserve"> PAGEREF _Toc224846307 \h </w:instrText>
            </w:r>
            <w:r w:rsidRPr="00C26480">
              <w:rPr>
                <w:rFonts w:ascii="Times New Roman" w:hAnsi="Times New Roman" w:cs="Times New Roman"/>
                <w:noProof/>
                <w:webHidden/>
                <w:color w:val="000000" w:themeColor="text1"/>
                <w:szCs w:val="24"/>
              </w:rPr>
            </w:r>
            <w:r w:rsidRPr="00C26480">
              <w:rPr>
                <w:rFonts w:ascii="Times New Roman" w:hAnsi="Times New Roman" w:cs="Times New Roman"/>
                <w:noProof/>
                <w:webHidden/>
                <w:color w:val="000000" w:themeColor="text1"/>
                <w:szCs w:val="24"/>
              </w:rPr>
              <w:fldChar w:fldCharType="separate"/>
            </w:r>
            <w:r w:rsidRPr="00C26480">
              <w:rPr>
                <w:rFonts w:ascii="Times New Roman" w:hAnsi="Times New Roman" w:cs="Times New Roman"/>
                <w:noProof/>
                <w:webHidden/>
                <w:color w:val="000000" w:themeColor="text1"/>
                <w:szCs w:val="24"/>
              </w:rPr>
              <w:t>22</w:t>
            </w:r>
            <w:r w:rsidRPr="00C26480">
              <w:rPr>
                <w:rFonts w:ascii="Times New Roman" w:hAnsi="Times New Roman" w:cs="Times New Roman"/>
                <w:noProof/>
                <w:webHidden/>
                <w:color w:val="000000" w:themeColor="text1"/>
                <w:szCs w:val="24"/>
              </w:rPr>
              <w:fldChar w:fldCharType="end"/>
            </w:r>
          </w:hyperlink>
        </w:p>
        <w:p w14:paraId="1C386ED3" w14:textId="77777777" w:rsidR="00AA564A" w:rsidRPr="00C26480" w:rsidRDefault="00AA564A" w:rsidP="00AA564A">
          <w:pPr>
            <w:rPr>
              <w:rFonts w:ascii="Times New Roman" w:hAnsi="Times New Roman" w:cs="Times New Roman"/>
              <w:color w:val="000000" w:themeColor="text1"/>
              <w:szCs w:val="24"/>
            </w:rPr>
          </w:pPr>
          <w:r w:rsidRPr="00C26480">
            <w:rPr>
              <w:rFonts w:ascii="Times New Roman" w:hAnsi="Times New Roman" w:cs="Times New Roman"/>
              <w:b/>
              <w:bCs/>
              <w:noProof/>
              <w:color w:val="000000" w:themeColor="text1"/>
              <w:szCs w:val="24"/>
            </w:rPr>
            <w:fldChar w:fldCharType="end"/>
          </w:r>
        </w:p>
      </w:sdtContent>
    </w:sdt>
    <w:p w14:paraId="3C00625B" w14:textId="77777777" w:rsidR="00AA564A" w:rsidRPr="00C26480" w:rsidRDefault="00AA564A" w:rsidP="00AA564A">
      <w:pPr>
        <w:spacing w:line="480" w:lineRule="auto"/>
        <w:rPr>
          <w:rFonts w:ascii="Times New Roman" w:hAnsi="Times New Roman" w:cs="Times New Roman"/>
          <w:b/>
          <w:bCs/>
          <w:color w:val="000000" w:themeColor="text1"/>
          <w:szCs w:val="24"/>
        </w:rPr>
      </w:pPr>
    </w:p>
    <w:p w14:paraId="75C9FE65" w14:textId="77777777" w:rsidR="00AA564A" w:rsidRPr="00C26480" w:rsidRDefault="00AA564A" w:rsidP="00AA564A">
      <w:pPr>
        <w:spacing w:line="480" w:lineRule="auto"/>
        <w:rPr>
          <w:rFonts w:ascii="Times New Roman" w:hAnsi="Times New Roman" w:cs="Times New Roman"/>
          <w:b/>
          <w:bCs/>
          <w:color w:val="000000" w:themeColor="text1"/>
          <w:szCs w:val="24"/>
        </w:rPr>
      </w:pPr>
    </w:p>
    <w:p w14:paraId="61315184" w14:textId="77777777" w:rsidR="00AA564A" w:rsidRPr="00C26480" w:rsidRDefault="00AA564A" w:rsidP="00AA564A">
      <w:pPr>
        <w:spacing w:line="480" w:lineRule="auto"/>
        <w:rPr>
          <w:rFonts w:ascii="Times New Roman" w:hAnsi="Times New Roman" w:cs="Times New Roman"/>
          <w:b/>
          <w:bCs/>
          <w:color w:val="000000" w:themeColor="text1"/>
          <w:szCs w:val="24"/>
        </w:rPr>
      </w:pPr>
    </w:p>
    <w:p w14:paraId="3C11134A" w14:textId="77777777" w:rsidR="00AA564A" w:rsidRPr="00C26480" w:rsidRDefault="00AA564A" w:rsidP="00AA564A">
      <w:pPr>
        <w:spacing w:line="480" w:lineRule="auto"/>
        <w:rPr>
          <w:rFonts w:ascii="Times New Roman" w:hAnsi="Times New Roman" w:cs="Times New Roman"/>
          <w:b/>
          <w:bCs/>
          <w:color w:val="000000" w:themeColor="text1"/>
          <w:szCs w:val="24"/>
        </w:rPr>
      </w:pPr>
    </w:p>
    <w:p w14:paraId="761DCBA8" w14:textId="77777777" w:rsidR="00AA564A" w:rsidRPr="00C26480" w:rsidRDefault="00AA564A" w:rsidP="00AA564A">
      <w:pPr>
        <w:spacing w:line="480" w:lineRule="auto"/>
        <w:rPr>
          <w:rFonts w:ascii="Times New Roman" w:hAnsi="Times New Roman" w:cs="Times New Roman"/>
          <w:b/>
          <w:bCs/>
          <w:color w:val="000000" w:themeColor="text1"/>
          <w:szCs w:val="24"/>
        </w:rPr>
      </w:pPr>
    </w:p>
    <w:p w14:paraId="701ADAB3" w14:textId="77777777" w:rsidR="00AA564A" w:rsidRPr="00C26480" w:rsidRDefault="00AA564A" w:rsidP="00AA564A">
      <w:pPr>
        <w:spacing w:line="480" w:lineRule="auto"/>
        <w:rPr>
          <w:rFonts w:ascii="Times New Roman" w:hAnsi="Times New Roman" w:cs="Times New Roman"/>
          <w:b/>
          <w:bCs/>
          <w:color w:val="000000" w:themeColor="text1"/>
          <w:szCs w:val="24"/>
        </w:rPr>
      </w:pPr>
    </w:p>
    <w:p w14:paraId="5144E9CE" w14:textId="77777777" w:rsidR="00AA564A" w:rsidRPr="00C26480" w:rsidRDefault="00AA564A" w:rsidP="00AA564A">
      <w:pPr>
        <w:spacing w:line="480" w:lineRule="auto"/>
        <w:rPr>
          <w:rFonts w:ascii="Times New Roman" w:hAnsi="Times New Roman" w:cs="Times New Roman"/>
          <w:b/>
          <w:bCs/>
          <w:color w:val="000000" w:themeColor="text1"/>
          <w:szCs w:val="24"/>
        </w:rPr>
      </w:pPr>
    </w:p>
    <w:p w14:paraId="5BCA6983" w14:textId="77777777" w:rsidR="00AA564A" w:rsidRPr="00C26480" w:rsidRDefault="00AA564A" w:rsidP="00AA564A">
      <w:pPr>
        <w:spacing w:line="480" w:lineRule="auto"/>
        <w:rPr>
          <w:rFonts w:ascii="Times New Roman" w:hAnsi="Times New Roman" w:cs="Times New Roman"/>
          <w:b/>
          <w:bCs/>
          <w:color w:val="000000" w:themeColor="text1"/>
          <w:szCs w:val="24"/>
        </w:rPr>
      </w:pPr>
    </w:p>
    <w:p w14:paraId="7F3EB315" w14:textId="77777777" w:rsidR="00AA564A" w:rsidRPr="00C26480" w:rsidRDefault="00AA564A" w:rsidP="00AA564A">
      <w:pPr>
        <w:spacing w:line="480" w:lineRule="auto"/>
        <w:rPr>
          <w:rFonts w:ascii="Times New Roman" w:hAnsi="Times New Roman" w:cs="Times New Roman"/>
          <w:b/>
          <w:bCs/>
          <w:color w:val="000000" w:themeColor="text1"/>
          <w:szCs w:val="24"/>
        </w:rPr>
      </w:pPr>
    </w:p>
    <w:p w14:paraId="23692D6F" w14:textId="77777777" w:rsidR="00AA564A" w:rsidRDefault="00AA564A" w:rsidP="00AA564A">
      <w:pPr>
        <w:spacing w:line="480" w:lineRule="auto"/>
        <w:rPr>
          <w:rFonts w:ascii="Times New Roman" w:hAnsi="Times New Roman" w:cs="Times New Roman"/>
          <w:b/>
          <w:bCs/>
          <w:color w:val="000000" w:themeColor="text1"/>
          <w:szCs w:val="24"/>
        </w:rPr>
      </w:pPr>
    </w:p>
    <w:p w14:paraId="231C9D5D" w14:textId="77777777" w:rsidR="00C26480" w:rsidRDefault="00C26480" w:rsidP="00AA564A">
      <w:pPr>
        <w:spacing w:line="480" w:lineRule="auto"/>
        <w:rPr>
          <w:rFonts w:ascii="Times New Roman" w:hAnsi="Times New Roman" w:cs="Times New Roman"/>
          <w:b/>
          <w:bCs/>
          <w:color w:val="000000" w:themeColor="text1"/>
          <w:szCs w:val="24"/>
        </w:rPr>
      </w:pPr>
    </w:p>
    <w:p w14:paraId="3E224352" w14:textId="77777777" w:rsidR="00C26480" w:rsidRPr="00C26480" w:rsidRDefault="00C26480" w:rsidP="00AA564A">
      <w:pPr>
        <w:spacing w:line="480" w:lineRule="auto"/>
        <w:rPr>
          <w:rFonts w:ascii="Times New Roman" w:hAnsi="Times New Roman" w:cs="Times New Roman"/>
          <w:b/>
          <w:bCs/>
          <w:color w:val="000000" w:themeColor="text1"/>
          <w:szCs w:val="24"/>
        </w:rPr>
      </w:pPr>
    </w:p>
    <w:p w14:paraId="1500B818" w14:textId="77777777" w:rsidR="00AA564A" w:rsidRPr="00C26480" w:rsidRDefault="00AA564A" w:rsidP="00AA564A">
      <w:pPr>
        <w:spacing w:line="480" w:lineRule="auto"/>
        <w:rPr>
          <w:rFonts w:ascii="Times New Roman" w:eastAsiaTheme="majorEastAsia" w:hAnsi="Times New Roman" w:cs="Times New Roman"/>
          <w:b/>
          <w:bCs/>
          <w:color w:val="000000" w:themeColor="text1"/>
          <w:szCs w:val="24"/>
        </w:rPr>
      </w:pPr>
      <w:r w:rsidRPr="00C26480">
        <w:rPr>
          <w:rFonts w:ascii="Times New Roman" w:eastAsiaTheme="majorEastAsia" w:hAnsi="Times New Roman" w:cs="Times New Roman"/>
          <w:b/>
          <w:bCs/>
          <w:color w:val="000000" w:themeColor="text1"/>
          <w:szCs w:val="24"/>
        </w:rPr>
        <w:lastRenderedPageBreak/>
        <w:t>Introduction</w:t>
      </w:r>
    </w:p>
    <w:p w14:paraId="4204879D"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In the contemporary globalized and highly interconnected business world, organizations are becoming increasingly exposed to intricate issues that demand strategic decision-making and adaptive management. One of the most significant disruptions to the contemporary supply chains is the global semiconductor shortage that started in 2020, especially in the automotive sector (</w:t>
      </w:r>
      <w:proofErr w:type="spellStart"/>
      <w:r w:rsidRPr="00C26480">
        <w:rPr>
          <w:rFonts w:ascii="Times New Roman" w:eastAsiaTheme="majorEastAsia" w:hAnsi="Times New Roman" w:cs="Times New Roman"/>
          <w:color w:val="000000" w:themeColor="text1"/>
          <w:szCs w:val="24"/>
        </w:rPr>
        <w:t>Gereffi</w:t>
      </w:r>
      <w:proofErr w:type="spellEnd"/>
      <w:r w:rsidRPr="00C26480">
        <w:rPr>
          <w:rFonts w:ascii="Times New Roman" w:eastAsiaTheme="majorEastAsia" w:hAnsi="Times New Roman" w:cs="Times New Roman"/>
          <w:color w:val="000000" w:themeColor="text1"/>
          <w:szCs w:val="24"/>
        </w:rPr>
        <w:t>, 2020; Ivanov, 2021). This crisis underscored the susceptibility of global supply chains and the importance of organizations establishing resilient approaches to deal with unpredictability and disruption.</w:t>
      </w:r>
    </w:p>
    <w:p w14:paraId="42D369B4"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Strategic management is the process of making and executing strategic decisions that help an organization to meet its long-term goals and remain competitive (Porter, 1985; Barney, 1991). Decision-making processes in complex environments are complicated by uncertainty, change in technology, and interdependencies within global supply chains (Teece, 2018). Conventional models of decision-making, based on steady and predictable situations, tend to fall short in such environments, and more adaptable and dynamic solutions are required (Mintzberg et al., 2009).</w:t>
      </w:r>
    </w:p>
    <w:p w14:paraId="438AE5CC"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The shortage of semiconductors offers a pressing setting to study strategic decision-making. It stemmed from a confluence of different factors, such as high demand of electronic devices, disruption of supply chains by the COVID-19 pandemic, and a lack of production capacity in the semiconductor sector (</w:t>
      </w:r>
      <w:proofErr w:type="spellStart"/>
      <w:r w:rsidRPr="00C26480">
        <w:rPr>
          <w:rFonts w:ascii="Times New Roman" w:eastAsiaTheme="majorEastAsia" w:hAnsi="Times New Roman" w:cs="Times New Roman"/>
          <w:color w:val="000000" w:themeColor="text1"/>
          <w:szCs w:val="24"/>
        </w:rPr>
        <w:t>Gereffi</w:t>
      </w:r>
      <w:proofErr w:type="spellEnd"/>
      <w:r w:rsidRPr="00C26480">
        <w:rPr>
          <w:rFonts w:ascii="Times New Roman" w:eastAsiaTheme="majorEastAsia" w:hAnsi="Times New Roman" w:cs="Times New Roman"/>
          <w:color w:val="000000" w:themeColor="text1"/>
          <w:szCs w:val="24"/>
        </w:rPr>
        <w:t>, 2020; Ivanov, 2021). Consequently, numerous automotive firms experienced delays in production, rising expenses, and decreased revenues. Nevertheless, Tesla Inc. was the exception, showing an impressive resilience and flexibility in overcoming the crisis.</w:t>
      </w:r>
    </w:p>
    <w:p w14:paraId="429EA0EB"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 xml:space="preserve">The lack of semiconductors in Tesla can be understood as the implementation of dynamic capabilities, or the organizational capacity to combine, create, and reorganize internal and </w:t>
      </w:r>
      <w:r w:rsidRPr="00C26480">
        <w:rPr>
          <w:rFonts w:ascii="Times New Roman" w:eastAsiaTheme="majorEastAsia" w:hAnsi="Times New Roman" w:cs="Times New Roman"/>
          <w:color w:val="000000" w:themeColor="text1"/>
          <w:szCs w:val="24"/>
        </w:rPr>
        <w:lastRenderedPageBreak/>
        <w:t>external resources in response to the evolving environments (Teece, 2018). With its technological prowess and vertical integration, the company redesigned the software and used alternative semiconductor chips, hence ensuring continuity in production (Pisano, 2017). This underscores the value of innovation and flexibility in strategic decision-making.</w:t>
      </w:r>
    </w:p>
    <w:p w14:paraId="5A904118"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 xml:space="preserve">Moreover, the reaction of Tesla is in line with agile management concepts, which focus on quick decision-making, flexibility, and constant learning (Rigby et al., 2016). The agile approach enabled Tesla to respond rapidly to supply chain disruptions and introduce solutions in real time. This is unlike the conventional hierarchical </w:t>
      </w:r>
      <w:proofErr w:type="gramStart"/>
      <w:r w:rsidRPr="00C26480">
        <w:rPr>
          <w:rFonts w:ascii="Times New Roman" w:eastAsiaTheme="majorEastAsia" w:hAnsi="Times New Roman" w:cs="Times New Roman"/>
          <w:color w:val="000000" w:themeColor="text1"/>
          <w:szCs w:val="24"/>
        </w:rPr>
        <w:t>decision making</w:t>
      </w:r>
      <w:proofErr w:type="gramEnd"/>
      <w:r w:rsidRPr="00C26480">
        <w:rPr>
          <w:rFonts w:ascii="Times New Roman" w:eastAsiaTheme="majorEastAsia" w:hAnsi="Times New Roman" w:cs="Times New Roman"/>
          <w:color w:val="000000" w:themeColor="text1"/>
          <w:szCs w:val="24"/>
        </w:rPr>
        <w:t xml:space="preserve"> processes which can be unnecessarily slow to react to the quickly evolving circumstances (Mintzberg et al., 2009).</w:t>
      </w:r>
    </w:p>
    <w:p w14:paraId="6B1E1ADF"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 xml:space="preserve">Supply chain resilience is also a critical area in exploring the Tesla strategy. Supply chain resilience can be defined as the capacity of systems to foresee, prepare, and respond to disruptions without suffering </w:t>
      </w:r>
      <w:proofErr w:type="spellStart"/>
      <w:r w:rsidRPr="00C26480">
        <w:rPr>
          <w:rFonts w:ascii="Times New Roman" w:eastAsiaTheme="majorEastAsia" w:hAnsi="Times New Roman" w:cs="Times New Roman"/>
          <w:color w:val="000000" w:themeColor="text1"/>
          <w:szCs w:val="24"/>
        </w:rPr>
        <w:t>operationaling</w:t>
      </w:r>
      <w:proofErr w:type="spellEnd"/>
      <w:r w:rsidRPr="00C26480">
        <w:rPr>
          <w:rFonts w:ascii="Times New Roman" w:eastAsiaTheme="majorEastAsia" w:hAnsi="Times New Roman" w:cs="Times New Roman"/>
          <w:color w:val="000000" w:themeColor="text1"/>
          <w:szCs w:val="24"/>
        </w:rPr>
        <w:t xml:space="preserve"> continuity (Ivanov, 2021). Tesla was proactive in managing its suppliers and adapting to shifting circumstances, which played a significant role in its survival amid the shortage of semiconductors.</w:t>
      </w:r>
    </w:p>
    <w:p w14:paraId="7CF9BF17"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Moreover, the example of Tesla reveals the significance of strategic leadership in complex business settings. Successful leadership is not only about making informed decisions but also about instilling a culture of innovation and flexibility within the organization (Pisano, 2017). The risky decisions and unorthodox solutions implemented by Tesla leadership contributed to the company success.</w:t>
      </w:r>
    </w:p>
    <w:p w14:paraId="1424CCB8"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 xml:space="preserve">To sum up, the global semiconductor shortage can serve as a useful context in studying the strategic management and decision-making in the complex landscapes. The reaction of Tesla reveals the significance of dynamic capabilities, responsive management, and supply chain </w:t>
      </w:r>
      <w:r w:rsidRPr="00C26480">
        <w:rPr>
          <w:rFonts w:ascii="Times New Roman" w:eastAsiaTheme="majorEastAsia" w:hAnsi="Times New Roman" w:cs="Times New Roman"/>
          <w:color w:val="000000" w:themeColor="text1"/>
          <w:szCs w:val="24"/>
        </w:rPr>
        <w:lastRenderedPageBreak/>
        <w:t>resiliency in sustaining competitive advantage. The objectives of this report include a critical analysis of the strategic decision-making process at Tesla and an assessment of its success in managing supply chain disruptions.</w:t>
      </w:r>
    </w:p>
    <w:p w14:paraId="62CE6FF4"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p>
    <w:p w14:paraId="24A9DDED"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p>
    <w:p w14:paraId="23B3915C"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p>
    <w:p w14:paraId="3ADC3C1B"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p>
    <w:p w14:paraId="2DFAAECD"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p>
    <w:p w14:paraId="0510C3E5"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p>
    <w:p w14:paraId="6F37DE5D"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p>
    <w:p w14:paraId="4D5A7C23"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p>
    <w:p w14:paraId="2359295A"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p>
    <w:p w14:paraId="2E9424FB"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p>
    <w:p w14:paraId="045B8F5F"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p>
    <w:p w14:paraId="4797EF5A"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p>
    <w:p w14:paraId="2AC6203F"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p>
    <w:p w14:paraId="0DCFCE7B"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Literature Review</w:t>
      </w:r>
    </w:p>
    <w:p w14:paraId="783103FF"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 xml:space="preserve">The concept of strategic decision making in complex business contexts has been extensively discussed in management literature, especially with respect to uncertainty, disruption and global </w:t>
      </w:r>
      <w:r w:rsidRPr="00C26480">
        <w:rPr>
          <w:rFonts w:ascii="Times New Roman" w:eastAsiaTheme="majorEastAsia" w:hAnsi="Times New Roman" w:cs="Times New Roman"/>
          <w:color w:val="000000" w:themeColor="text1"/>
          <w:szCs w:val="24"/>
        </w:rPr>
        <w:lastRenderedPageBreak/>
        <w:t>supply chain issues. The old decision-making paradigms, founded on rational planning and steady conditions are rapidly being viewed as inadequate in the dynamic environment with volatility and unpredictability (Mintzberg et al., 2009; Teece, 2018). Consequently, the researchers stress the importance of agile and adaptive strategies.</w:t>
      </w:r>
    </w:p>
    <w:p w14:paraId="0B733A23"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Dynamic capabilities are a concept that lies at the core of organizational responses to complex challenges. According to Teece (2018), dynamic capabilities refer to the capacity of businesses to synthesize, develop, and restructure internal and external resources to adapt to evolving environments. Pisano (2017) adds that highly dynamic organizations are in a better position to innovate and sustain competitive advantage in the face of disruption. Dynamic capabilities help firms respond quickly to supply chain constraints, and technological challenges in the context of the semiconductor shortage.</w:t>
      </w:r>
    </w:p>
    <w:p w14:paraId="5E8A04CA"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Resource-based view (RBV) is another key framework, which proposes that the competitive advantage of a firm is based on its distinctive resources and capabilities (Barney, 1991). Regarding Tesla, the technological expertise, vertical integration, and software capabilities are strategic resources that enable the company to respond effectively to disruptions in supply chains. Such resources help the company redesign systems and apply alternative solutions more effectively than competitors.</w:t>
      </w:r>
    </w:p>
    <w:p w14:paraId="6FE69C6F"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 xml:space="preserve">Another area of critical research has been </w:t>
      </w:r>
      <w:proofErr w:type="gramStart"/>
      <w:r w:rsidRPr="00C26480">
        <w:rPr>
          <w:rFonts w:ascii="Times New Roman" w:eastAsiaTheme="majorEastAsia" w:hAnsi="Times New Roman" w:cs="Times New Roman"/>
          <w:color w:val="000000" w:themeColor="text1"/>
          <w:szCs w:val="24"/>
        </w:rPr>
        <w:t>supply</w:t>
      </w:r>
      <w:proofErr w:type="gramEnd"/>
      <w:r w:rsidRPr="00C26480">
        <w:rPr>
          <w:rFonts w:ascii="Times New Roman" w:eastAsiaTheme="majorEastAsia" w:hAnsi="Times New Roman" w:cs="Times New Roman"/>
          <w:color w:val="000000" w:themeColor="text1"/>
          <w:szCs w:val="24"/>
        </w:rPr>
        <w:t xml:space="preserve"> chain resilience. Ivanov (2021) points out that resilient supply chains are those capable of predicting, reacting, and returning to the state of operation after disrupting events. </w:t>
      </w:r>
      <w:proofErr w:type="spellStart"/>
      <w:r w:rsidRPr="00C26480">
        <w:rPr>
          <w:rFonts w:ascii="Times New Roman" w:eastAsiaTheme="majorEastAsia" w:hAnsi="Times New Roman" w:cs="Times New Roman"/>
          <w:color w:val="000000" w:themeColor="text1"/>
          <w:szCs w:val="24"/>
        </w:rPr>
        <w:t>Gereffi</w:t>
      </w:r>
      <w:proofErr w:type="spellEnd"/>
      <w:r w:rsidRPr="00C26480">
        <w:rPr>
          <w:rFonts w:ascii="Times New Roman" w:eastAsiaTheme="majorEastAsia" w:hAnsi="Times New Roman" w:cs="Times New Roman"/>
          <w:color w:val="000000" w:themeColor="text1"/>
          <w:szCs w:val="24"/>
        </w:rPr>
        <w:t xml:space="preserve"> (2020) points to the fact that global value chains are especially susceptible to disruption, as observed in the COVID-19 pandemic and semiconductor supply crisis. This has resulted in an augmented emphasis on methods like supplier diversification, localized manufacturing, and digitalized supply chains.</w:t>
      </w:r>
    </w:p>
    <w:p w14:paraId="7D0C5378"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lastRenderedPageBreak/>
        <w:t>The literature, too, underscores the role of agile management in adapting to complex environments. Agile methodologies focus on flexibility, fast decision-making, and ongoing learning, which allow organizations to adapt fast to evolving circumstances (Rigby et al., 2016). This is in contrast with the old hierarchical models, which might prove too inflexible to react appropriately to abrupt shocks (Mintzberg et al., 2009).</w:t>
      </w:r>
    </w:p>
    <w:p w14:paraId="5CEB1A41"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Complex environments often require real-time problem-solving and decentralized decision-making in decision-making models. Eisenhardt and Zbaracki (1992) affirm that a dynamic environment demands speed, intuition, and the capability to process incomplete information to make effective decisions. This is consistent with how Tesla responded to the semiconductor shortage, where fast decisions and creative solutions were needed.</w:t>
      </w:r>
    </w:p>
    <w:p w14:paraId="425B0C99"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The global firms case studies further assist in understanding strategic decision-making. Studies indicate that companies that embrace flexibility and invest in innovation tend to succeed more in uncertain markets (Pisano, 2017; Teece, 2018). The capacity of Tesla to re-design its software to fit other chips illustrates the value of innovation in preserving operational continuity.</w:t>
      </w:r>
    </w:p>
    <w:p w14:paraId="39FF3362"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Nonetheless, the literature also points to the difficulties of dynamic decision-making. Among these factors are heightened complexity, the possibility of coordination problems, and the danger of decision-making under incomplete information (Eisenhardt and Zbaracki, 1992). This emphasizes the importance of effective communication and strong leadership to implement the strategic decisions successfully.</w:t>
      </w:r>
    </w:p>
    <w:p w14:paraId="0E62FC5D"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 xml:space="preserve">The literature broadly indicates that effective decision-making within complex settings should involve a blend of dynamic capabilities, resource-based advantages, supply chain resilience, and </w:t>
      </w:r>
      <w:r w:rsidRPr="00C26480">
        <w:rPr>
          <w:rFonts w:ascii="Times New Roman" w:eastAsiaTheme="majorEastAsia" w:hAnsi="Times New Roman" w:cs="Times New Roman"/>
          <w:color w:val="000000" w:themeColor="text1"/>
          <w:szCs w:val="24"/>
        </w:rPr>
        <w:lastRenderedPageBreak/>
        <w:t>agile management practices. Those frameworks offer a theoretical basis to understand how Tesla has responded strategically to the semiconductor shortage.</w:t>
      </w:r>
    </w:p>
    <w:p w14:paraId="06783363"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p>
    <w:p w14:paraId="4C5807E6"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p>
    <w:p w14:paraId="6833DF77"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p>
    <w:p w14:paraId="2910BB10"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p>
    <w:p w14:paraId="01E51EB2"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p>
    <w:p w14:paraId="4DD749E3"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p>
    <w:p w14:paraId="573A5E49"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p>
    <w:p w14:paraId="753FF8AC"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p>
    <w:p w14:paraId="3233DCBD"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p>
    <w:p w14:paraId="0AA81B0D"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p>
    <w:p w14:paraId="6E2273C6"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p>
    <w:p w14:paraId="3AC059A8"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p>
    <w:p w14:paraId="003C5D13"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p>
    <w:p w14:paraId="26CB499E"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Methodology</w:t>
      </w:r>
    </w:p>
    <w:p w14:paraId="5FD3F037"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 xml:space="preserve">This research paper will employ a qualitative research design to examine how Tesla Inc. made strategic decisions amid the global semiconductor shortage. The qualitative approach is suitable </w:t>
      </w:r>
      <w:r w:rsidRPr="00C26480">
        <w:rPr>
          <w:rFonts w:ascii="Times New Roman" w:eastAsiaTheme="majorEastAsia" w:hAnsi="Times New Roman" w:cs="Times New Roman"/>
          <w:color w:val="000000" w:themeColor="text1"/>
          <w:szCs w:val="24"/>
        </w:rPr>
        <w:lastRenderedPageBreak/>
        <w:t xml:space="preserve">since the study is about insights into complex organizational strategies, decision making processes and </w:t>
      </w:r>
      <w:proofErr w:type="gramStart"/>
      <w:r w:rsidRPr="00C26480">
        <w:rPr>
          <w:rFonts w:ascii="Times New Roman" w:eastAsiaTheme="majorEastAsia" w:hAnsi="Times New Roman" w:cs="Times New Roman"/>
          <w:color w:val="000000" w:themeColor="text1"/>
          <w:szCs w:val="24"/>
        </w:rPr>
        <w:t>real world</w:t>
      </w:r>
      <w:proofErr w:type="gramEnd"/>
      <w:r w:rsidRPr="00C26480">
        <w:rPr>
          <w:rFonts w:ascii="Times New Roman" w:eastAsiaTheme="majorEastAsia" w:hAnsi="Times New Roman" w:cs="Times New Roman"/>
          <w:color w:val="000000" w:themeColor="text1"/>
          <w:szCs w:val="24"/>
        </w:rPr>
        <w:t xml:space="preserve"> business practices, not quantitative data.</w:t>
      </w:r>
    </w:p>
    <w:p w14:paraId="60B35096"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The study relies on systematic review of secondary sources, such as academic journal articles, industry reports, case studies, and reputable business publications. To ensure academic credibility and reliability, sources were gathered through databases like Google Scholar, Science Direct, and JSTOR. The keywords employed in search would be strategic decision-making, dynamic capabilities, supply chain resilience, Tesla semiconductor shortage, and agile management.</w:t>
      </w:r>
    </w:p>
    <w:p w14:paraId="5A2765D4"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 xml:space="preserve">Tesla response to semiconductor shortage is investigated using a case study approach. Case studies are especially helpful in examining real-life scenarios and interpreting how theoretical knowledge is implemented in practice (Yin, 2018). The focal case is Tesla because it was the only company in the automotive industry that reacted to the crisis in </w:t>
      </w:r>
      <w:proofErr w:type="gramStart"/>
      <w:r w:rsidRPr="00C26480">
        <w:rPr>
          <w:rFonts w:ascii="Times New Roman" w:eastAsiaTheme="majorEastAsia" w:hAnsi="Times New Roman" w:cs="Times New Roman"/>
          <w:color w:val="000000" w:themeColor="text1"/>
          <w:szCs w:val="24"/>
        </w:rPr>
        <w:t>a very unique</w:t>
      </w:r>
      <w:proofErr w:type="gramEnd"/>
      <w:r w:rsidRPr="00C26480">
        <w:rPr>
          <w:rFonts w:ascii="Times New Roman" w:eastAsiaTheme="majorEastAsia" w:hAnsi="Times New Roman" w:cs="Times New Roman"/>
          <w:color w:val="000000" w:themeColor="text1"/>
          <w:szCs w:val="24"/>
        </w:rPr>
        <w:t xml:space="preserve"> and successful manner.</w:t>
      </w:r>
    </w:p>
    <w:p w14:paraId="347A5FF7"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The research adopts a comparative analytical paradigm to assess the strategies of Tesla through the application of standard management theories. Tesla, as an example, is examined in terms of dynamic capabilities theory, resource-based view, and agile management principles (Teece, 2018; Barney, 1991; Rigby et al., 2016). The method allows to better comprehend the applicability of theoretical models to real-life situations.</w:t>
      </w:r>
    </w:p>
    <w:p w14:paraId="55C05A6D"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 xml:space="preserve">The methodology also includes the use of thematic analysis to discover the important patterns and insights in the data. Supply chain resilience, innovation, and leadership are explored to comprehend how they contributed to the Tesla decision-making process (Ivanov, 2021; </w:t>
      </w:r>
      <w:proofErr w:type="spellStart"/>
      <w:r w:rsidRPr="00C26480">
        <w:rPr>
          <w:rFonts w:ascii="Times New Roman" w:eastAsiaTheme="majorEastAsia" w:hAnsi="Times New Roman" w:cs="Times New Roman"/>
          <w:color w:val="000000" w:themeColor="text1"/>
          <w:szCs w:val="24"/>
        </w:rPr>
        <w:t>Gereffi</w:t>
      </w:r>
      <w:proofErr w:type="spellEnd"/>
      <w:r w:rsidRPr="00C26480">
        <w:rPr>
          <w:rFonts w:ascii="Times New Roman" w:eastAsiaTheme="majorEastAsia" w:hAnsi="Times New Roman" w:cs="Times New Roman"/>
          <w:color w:val="000000" w:themeColor="text1"/>
          <w:szCs w:val="24"/>
        </w:rPr>
        <w:t>, 2020). It enables the systematic examination of complex data.</w:t>
      </w:r>
    </w:p>
    <w:p w14:paraId="4F59DD51"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lastRenderedPageBreak/>
        <w:t xml:space="preserve">To achieve validity and reliability, the study employs triangulation, which is the integration of several sources of information </w:t>
      </w:r>
      <w:proofErr w:type="gramStart"/>
      <w:r w:rsidRPr="00C26480">
        <w:rPr>
          <w:rFonts w:ascii="Times New Roman" w:eastAsiaTheme="majorEastAsia" w:hAnsi="Times New Roman" w:cs="Times New Roman"/>
          <w:color w:val="000000" w:themeColor="text1"/>
          <w:szCs w:val="24"/>
        </w:rPr>
        <w:t>in order to</w:t>
      </w:r>
      <w:proofErr w:type="gramEnd"/>
      <w:r w:rsidRPr="00C26480">
        <w:rPr>
          <w:rFonts w:ascii="Times New Roman" w:eastAsiaTheme="majorEastAsia" w:hAnsi="Times New Roman" w:cs="Times New Roman"/>
          <w:color w:val="000000" w:themeColor="text1"/>
          <w:szCs w:val="24"/>
        </w:rPr>
        <w:t xml:space="preserve"> offer a complete and balanced analysis (Yin, 2018). This minimizes bias and improves the credibility of the findings. Nevertheless, the study has limitations because it is based on secondary data that might not necessarily reflect the entire picture of how Tesla makes decisions internally.</w:t>
      </w:r>
    </w:p>
    <w:p w14:paraId="458C3E79"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Nevertheless, the methodology offers a sound structure to the analysis of strategic decision-making within complex business settings. The combination of theoretical knowledge and analysis of real-world cases provides the study with a profound comprehension of how Tesla managed to overcome supply chain disruptions and retain its competitive edge.</w:t>
      </w:r>
    </w:p>
    <w:p w14:paraId="30457DD3"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p>
    <w:p w14:paraId="74F8E7A2"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p>
    <w:p w14:paraId="0BDB25D8"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p>
    <w:p w14:paraId="714789D6"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p>
    <w:p w14:paraId="607FC3B0"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p>
    <w:p w14:paraId="208314FA"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p>
    <w:p w14:paraId="5FC86CB9"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p>
    <w:p w14:paraId="26FFCE00"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p>
    <w:p w14:paraId="3E8E92D8"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p>
    <w:p w14:paraId="7EA42ED3"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p>
    <w:p w14:paraId="7BA543FE"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Findings</w:t>
      </w:r>
    </w:p>
    <w:p w14:paraId="0E2E647B"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lastRenderedPageBreak/>
        <w:t xml:space="preserve">This research shows that dynamic capabilities, agile decision-making, and supply chain resilience strategies enabled Tesla Inc. to respond to the global semiconductor shortage. Tesla continued to run operations unlike many of its automotive rivals that ceased production in chip shortages by quickly adjusting its technological and supply chain functions (Ivanov, 2021; </w:t>
      </w:r>
      <w:proofErr w:type="spellStart"/>
      <w:r w:rsidRPr="00C26480">
        <w:rPr>
          <w:rFonts w:ascii="Times New Roman" w:eastAsiaTheme="majorEastAsia" w:hAnsi="Times New Roman" w:cs="Times New Roman"/>
          <w:color w:val="000000" w:themeColor="text1"/>
          <w:szCs w:val="24"/>
        </w:rPr>
        <w:t>Gereffi</w:t>
      </w:r>
      <w:proofErr w:type="spellEnd"/>
      <w:r w:rsidRPr="00C26480">
        <w:rPr>
          <w:rFonts w:ascii="Times New Roman" w:eastAsiaTheme="majorEastAsia" w:hAnsi="Times New Roman" w:cs="Times New Roman"/>
          <w:color w:val="000000" w:themeColor="text1"/>
          <w:szCs w:val="24"/>
        </w:rPr>
        <w:t>, 2020).</w:t>
      </w:r>
    </w:p>
    <w:p w14:paraId="24D18A3E"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The possibility of Tesla reconfiguring its technological systems is one of the most significant findings. Its rapid ability to redesign its software to suit alternative semiconductor chips also exhibits high dynamic capabilities (Teece, 2018; Pisano, 2017). This flexibility in integrating and reconfiguring resources enabled Tesla to solve supply limitations more efficiently than the traditional automakers.</w:t>
      </w:r>
    </w:p>
    <w:p w14:paraId="15B131E9"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 xml:space="preserve">The second important conclusion is the place of vertical integration and technological expertise in the strategy of Tesla. Resource wise, Tesla drew on its own internal strengths, especially in software engineering, to eliminate reliance on </w:t>
      </w:r>
      <w:proofErr w:type="gramStart"/>
      <w:r w:rsidRPr="00C26480">
        <w:rPr>
          <w:rFonts w:ascii="Times New Roman" w:eastAsiaTheme="majorEastAsia" w:hAnsi="Times New Roman" w:cs="Times New Roman"/>
          <w:color w:val="000000" w:themeColor="text1"/>
          <w:szCs w:val="24"/>
        </w:rPr>
        <w:t>particular suppliers</w:t>
      </w:r>
      <w:proofErr w:type="gramEnd"/>
      <w:r w:rsidRPr="00C26480">
        <w:rPr>
          <w:rFonts w:ascii="Times New Roman" w:eastAsiaTheme="majorEastAsia" w:hAnsi="Times New Roman" w:cs="Times New Roman"/>
          <w:color w:val="000000" w:themeColor="text1"/>
          <w:szCs w:val="24"/>
        </w:rPr>
        <w:t xml:space="preserve"> (Barney, 1991; Pisano, 2017). This emphasizes the significance of distinctive organizational assets in sustaining competitive advantage amidst disruptions.</w:t>
      </w:r>
    </w:p>
    <w:p w14:paraId="49D472C3"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The paper also concludes that agile management practices have been significant in decision-making at Tesla. Rapid decision-making and real-time problem-solving mindsets helped Tesla to react quickly to evolving supply chain conditions (Rigby et al., 2016; Mintzberg et al., 2009). This flexibility is a contrast to the traditional hierarchy-based decision-making process, which can be slow and less responsive.</w:t>
      </w:r>
    </w:p>
    <w:p w14:paraId="764388BD"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 xml:space="preserve">Another vital finding is </w:t>
      </w:r>
      <w:proofErr w:type="gramStart"/>
      <w:r w:rsidRPr="00C26480">
        <w:rPr>
          <w:rFonts w:ascii="Times New Roman" w:eastAsiaTheme="majorEastAsia" w:hAnsi="Times New Roman" w:cs="Times New Roman"/>
          <w:color w:val="000000" w:themeColor="text1"/>
          <w:szCs w:val="24"/>
        </w:rPr>
        <w:t>supply</w:t>
      </w:r>
      <w:proofErr w:type="gramEnd"/>
      <w:r w:rsidRPr="00C26480">
        <w:rPr>
          <w:rFonts w:ascii="Times New Roman" w:eastAsiaTheme="majorEastAsia" w:hAnsi="Times New Roman" w:cs="Times New Roman"/>
          <w:color w:val="000000" w:themeColor="text1"/>
          <w:szCs w:val="24"/>
        </w:rPr>
        <w:t xml:space="preserve"> chain resilience. Tesla enhanced supplier relations and diversified sourcing plans to overcome risks linked with semiconductor shortages (Ivanov, 2021). Active </w:t>
      </w:r>
      <w:r w:rsidRPr="00C26480">
        <w:rPr>
          <w:rFonts w:ascii="Times New Roman" w:eastAsiaTheme="majorEastAsia" w:hAnsi="Times New Roman" w:cs="Times New Roman"/>
          <w:color w:val="000000" w:themeColor="text1"/>
          <w:szCs w:val="24"/>
        </w:rPr>
        <w:lastRenderedPageBreak/>
        <w:t>management of the supply chain allowed the company to predict disruptions and take effective measures.</w:t>
      </w:r>
    </w:p>
    <w:p w14:paraId="17E1BC10"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Further, the results emphasize the value of strategic leadership in the management of complex environments. The management at Tesla was willing to risk and adopt new solutions, a factor that helped the company win the crisis (Pisano, 2017). This is in line with studies indicating that effective leadership is critical in uncertainty management and transforming organizations (Eisenhardt and Zbaracki, 1992).</w:t>
      </w:r>
    </w:p>
    <w:p w14:paraId="49F87FF6"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The results, however, also suggest possible obstacles related to the Tesla approach. Decentralized, high-speed decision-making can make the risk of mistakes and coordination challenges more likely (Mintzberg et al., 2009). Tesla was able to sustain its competitive advantage despite these setbacks because of its ability to balance speed and strategic focus.</w:t>
      </w:r>
    </w:p>
    <w:p w14:paraId="5D51EB83"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proofErr w:type="gramStart"/>
      <w:r w:rsidRPr="00C26480">
        <w:rPr>
          <w:rFonts w:ascii="Times New Roman" w:eastAsiaTheme="majorEastAsia" w:hAnsi="Times New Roman" w:cs="Times New Roman"/>
          <w:color w:val="000000" w:themeColor="text1"/>
          <w:szCs w:val="24"/>
        </w:rPr>
        <w:t>On the whole</w:t>
      </w:r>
      <w:proofErr w:type="gramEnd"/>
      <w:r w:rsidRPr="00C26480">
        <w:rPr>
          <w:rFonts w:ascii="Times New Roman" w:eastAsiaTheme="majorEastAsia" w:hAnsi="Times New Roman" w:cs="Times New Roman"/>
          <w:color w:val="000000" w:themeColor="text1"/>
          <w:szCs w:val="24"/>
        </w:rPr>
        <w:t>, the results indicate that Tesla achieved its success because it managed to incorporate innovation, flexibility, and strategic foresight into its decision-making procedures. This illustrates the practicality of dynamic and adaptive strategies within complex business settings.</w:t>
      </w:r>
    </w:p>
    <w:p w14:paraId="2AC4F70E"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p>
    <w:p w14:paraId="61468E3B"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p>
    <w:p w14:paraId="6ACB4579"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p>
    <w:p w14:paraId="13351D35"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p>
    <w:p w14:paraId="77AE439B"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Discussion</w:t>
      </w:r>
    </w:p>
    <w:p w14:paraId="73648AD7"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lastRenderedPageBreak/>
        <w:t>The results of this research offer pertinent information on how organizations can address the complex business environments by making effective strategic decisions. The reaction of Tesla to the shortage of semiconductors exemplifies how adaptive and flexible strategies in management can be essential in the face of uncertainty and disruption (Teece, 2018; Ivanov, 2021).</w:t>
      </w:r>
    </w:p>
    <w:p w14:paraId="732F4BEB"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 xml:space="preserve">The shift towards dynamic decision-making models is one of the most important themes to be revealed through the discussion. Stability and predictability found in traditional models do not always meet the requirements in volatile environments (Mintzberg et al., 2009). However, the strategy of Tesla incorporates the concepts of dynamic capabilities, which prioritize constant adaptation and reconfiguration of resources (Teece, 2018). This underscores the importance of organizations putting in place adaptive strategies that </w:t>
      </w:r>
      <w:proofErr w:type="gramStart"/>
      <w:r w:rsidRPr="00C26480">
        <w:rPr>
          <w:rFonts w:ascii="Times New Roman" w:eastAsiaTheme="majorEastAsia" w:hAnsi="Times New Roman" w:cs="Times New Roman"/>
          <w:color w:val="000000" w:themeColor="text1"/>
          <w:szCs w:val="24"/>
        </w:rPr>
        <w:t>are able to</w:t>
      </w:r>
      <w:proofErr w:type="gramEnd"/>
      <w:r w:rsidRPr="00C26480">
        <w:rPr>
          <w:rFonts w:ascii="Times New Roman" w:eastAsiaTheme="majorEastAsia" w:hAnsi="Times New Roman" w:cs="Times New Roman"/>
          <w:color w:val="000000" w:themeColor="text1"/>
          <w:szCs w:val="24"/>
        </w:rPr>
        <w:t xml:space="preserve"> keep up with the swift changes.</w:t>
      </w:r>
    </w:p>
    <w:p w14:paraId="78807346"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The role of innovation as a strategic tool is also highlighted in the discussion. The fact that Tesla was able to re-architect its software and deploy alternative chips shows how innovation can help absorb the effects of supply chain disruptions (Pisano, 2017). This is consistent with the resource-based perspective that proposes that competitive advantage is based on distinctive capabilities and technological expertise (Barney, 1991).</w:t>
      </w:r>
    </w:p>
    <w:p w14:paraId="72D33CD6"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Agile management and its role in decision-making efficiency are another crucial point. Agile methods help organizations make decisions quicker, respond to evolving circumstances, and deliver solutions in real time (Rigby et al., 2016). Tesla success underscores the benefits of decentralization and flexibility in enhancing responsiveness and operational efficiency.</w:t>
      </w:r>
    </w:p>
    <w:p w14:paraId="2CD1DA0D"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 xml:space="preserve">The debate also underscores the importance of supply chain resilience. The shortage of semiconductors revealed the weaknesses in global supply chains and highlighted the importance of organizations to build resilience strategies (Gereffi, 2020; Ivanov, 2021). The proactive </w:t>
      </w:r>
      <w:r w:rsidRPr="00C26480">
        <w:rPr>
          <w:rFonts w:ascii="Times New Roman" w:eastAsiaTheme="majorEastAsia" w:hAnsi="Times New Roman" w:cs="Times New Roman"/>
          <w:color w:val="000000" w:themeColor="text1"/>
          <w:szCs w:val="24"/>
        </w:rPr>
        <w:lastRenderedPageBreak/>
        <w:t>strategy adopted by Tesla, such as the diversification of its suppliers and technological adjustments, shows that resilience can be attained with the help of strategic planning and innovation.</w:t>
      </w:r>
    </w:p>
    <w:p w14:paraId="09A6E564"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Nevertheless, the discussion also recognizes the obstacles that come with dynamic decision-making. Quick decision making can cause coordination problems and complexity, especially in big organizations (Eisenhardt and Zbaracki, 1992). This highlights the role of good leadership and communication in handling these issues.</w:t>
      </w:r>
    </w:p>
    <w:p w14:paraId="62BAD770"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Moreover, the case of Tesla underscores the importance of strategic leadership and organizational culture in instilling success. The ability to navigate complex environments requires leadership that promotes innovation, risk-taking, and flexibility (Pisano, 2017). Agile decision-making and collaboration are also heavily contingent upon organizational culture.</w:t>
      </w:r>
    </w:p>
    <w:p w14:paraId="34E7C0AD"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Summing up, the discourse illustrates that dynamic capabilities, innovation, agile management, and supply chain resilience are essential factors to achieve effective strategic decision-making within complex business settings. The reaction of Tesla to the shortage of semiconductor presents an interesting case study of how companies can ensure the sustainability of competitive advantage through flexible and adaptive strategies. Nevertheless, organizations also need to combat the issues that come with these strategies to realize a sustainable success.</w:t>
      </w:r>
    </w:p>
    <w:p w14:paraId="39D77049"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p>
    <w:p w14:paraId="18FB6648"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p>
    <w:p w14:paraId="7F8F8FC0"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p>
    <w:p w14:paraId="418AB069"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p>
    <w:p w14:paraId="009E8922"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lastRenderedPageBreak/>
        <w:t>Recommendations</w:t>
      </w:r>
    </w:p>
    <w:p w14:paraId="5CFFA0C9"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Following the current analysis of the strategic decision-making of Tesla Inc. amid the worldwide semiconductor crunch, it is possible to suggest some recommendations that could be followed by companies that need to act in complicated and disputable business conditions.</w:t>
      </w:r>
    </w:p>
    <w:p w14:paraId="55C82B24"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First, to improve their responsiveness to disruptions, companies must invest in building dynamic capabilities. Organizations need to develop the ability to re-orchestrate resources, embrace new technologies, and modify approaches dynamically (Teece, 2018; Pisano, 2017). This includes promoting innovation, cross-functional cooperation, and operational flexibility.</w:t>
      </w:r>
    </w:p>
    <w:p w14:paraId="7B2BED80"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Second, companies must embrace agile management to enhance efficiency in decision-making. Agile practices facilitate a more responsive approach to evolving environments and are conducive to learning and adaptation (Rigby et al., 2016). Companies need to decentralize decision-making and have teams take quick action especially in emergency cases (Mintzberg et al., 2009).</w:t>
      </w:r>
    </w:p>
    <w:p w14:paraId="5F433724"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 xml:space="preserve">Third, enhancing supply chain resilience is necessary to reduce risks linked to global disruptions. To mitigate these risks, companies must diversify their suppliers, invest in digital supply chain technologies, and develop contingency plans (Ivanov, 2021; </w:t>
      </w:r>
      <w:proofErr w:type="spellStart"/>
      <w:r w:rsidRPr="00C26480">
        <w:rPr>
          <w:rFonts w:ascii="Times New Roman" w:eastAsiaTheme="majorEastAsia" w:hAnsi="Times New Roman" w:cs="Times New Roman"/>
          <w:color w:val="000000" w:themeColor="text1"/>
          <w:szCs w:val="24"/>
        </w:rPr>
        <w:t>Gereffi</w:t>
      </w:r>
      <w:proofErr w:type="spellEnd"/>
      <w:r w:rsidRPr="00C26480">
        <w:rPr>
          <w:rFonts w:ascii="Times New Roman" w:eastAsiaTheme="majorEastAsia" w:hAnsi="Times New Roman" w:cs="Times New Roman"/>
          <w:color w:val="000000" w:themeColor="text1"/>
          <w:szCs w:val="24"/>
        </w:rPr>
        <w:t>, 2020). Further, strategic alliances and increased cooperation with suppliers should be considered by organizations to enhance visibility and coordination.</w:t>
      </w:r>
    </w:p>
    <w:p w14:paraId="30A752CB"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 xml:space="preserve">Increasing technological capabilities and innovation is another crucial suggestion. The flexibility in technology seen in Tesla, with its capacity to redesign software to support alternative semiconductor chips, underscores the significance of such flexibility (Pisano, 2017). </w:t>
      </w:r>
      <w:r w:rsidRPr="00C26480">
        <w:rPr>
          <w:rFonts w:ascii="Times New Roman" w:eastAsiaTheme="majorEastAsia" w:hAnsi="Times New Roman" w:cs="Times New Roman"/>
          <w:color w:val="000000" w:themeColor="text1"/>
          <w:szCs w:val="24"/>
        </w:rPr>
        <w:lastRenderedPageBreak/>
        <w:t>Organizations must invest in research and development, develop internal capacity to absorb new technological demands.</w:t>
      </w:r>
    </w:p>
    <w:p w14:paraId="1E20131C"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Moreover, organizations ought to emphasize strategic leadership. Leaders should be able to make decisions under uncertainty and lead organizations through difficult situations (Eisenhardt and Zbaracki, 1992). In dynamic environments, transformational leadership, which promotes innovation and flexibility, is especially relevant.</w:t>
      </w:r>
    </w:p>
    <w:p w14:paraId="4F89D916"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Organizations ought to also put in place effective risk management structures. This involves determining possible risks, evaluating their effects, and taking proactive measures to address them. Organizations could use scenario planning and predictive analytics to anticipate disruptions and respond accordingly (Ivanov, 2021).</w:t>
      </w:r>
    </w:p>
    <w:p w14:paraId="7659F881"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Moreover, it is important to enhance organizational communication and coordination. Effective communication guarantees the efficient flow of information within departments, providing the opportunity to make timely decisions and minimizing the potential risk of errors (Mintzberg et al., 2009). Organisations must use digital tools and platforms to enable teamwork and information exchange.</w:t>
      </w:r>
    </w:p>
    <w:p w14:paraId="749F730F"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Lastly, organisations ought to take a long-term strategic approach that incorporates both short-term countermeasures and long-term sustainability. Although urgent steps must be taken in times of crisis, organizations should also think of the long-term consequences of their decisions on their competitiveness and development (Porter, 1985; Barney, 1991).</w:t>
      </w:r>
    </w:p>
    <w:p w14:paraId="240DEC94"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 xml:space="preserve">Finally, by improving their dynamic capabilities, embracing agility in managing business, enhancing supply chain resilience, and promoting innovation and leadership, organizations can </w:t>
      </w:r>
      <w:r w:rsidRPr="00C26480">
        <w:rPr>
          <w:rFonts w:ascii="Times New Roman" w:eastAsiaTheme="majorEastAsia" w:hAnsi="Times New Roman" w:cs="Times New Roman"/>
          <w:color w:val="000000" w:themeColor="text1"/>
          <w:szCs w:val="24"/>
        </w:rPr>
        <w:lastRenderedPageBreak/>
        <w:t>better navigate the complex business environment. Such strategies will allow companies to adequately react to disruptions and retain their competitive edge.</w:t>
      </w:r>
    </w:p>
    <w:p w14:paraId="4539B36C"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Conclusion</w:t>
      </w:r>
    </w:p>
    <w:p w14:paraId="51A4FEEA"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 xml:space="preserve">This report has critically explored strategic management and decision making within complex business environment by using Tesla Inc. response to global semiconductor shortage as a case study. As the analysis illustrates, classical </w:t>
      </w:r>
      <w:proofErr w:type="gramStart"/>
      <w:r w:rsidRPr="00C26480">
        <w:rPr>
          <w:rFonts w:ascii="Times New Roman" w:eastAsiaTheme="majorEastAsia" w:hAnsi="Times New Roman" w:cs="Times New Roman"/>
          <w:color w:val="000000" w:themeColor="text1"/>
          <w:szCs w:val="24"/>
        </w:rPr>
        <w:t>decision making</w:t>
      </w:r>
      <w:proofErr w:type="gramEnd"/>
      <w:r w:rsidRPr="00C26480">
        <w:rPr>
          <w:rFonts w:ascii="Times New Roman" w:eastAsiaTheme="majorEastAsia" w:hAnsi="Times New Roman" w:cs="Times New Roman"/>
          <w:color w:val="000000" w:themeColor="text1"/>
          <w:szCs w:val="24"/>
        </w:rPr>
        <w:t xml:space="preserve"> models can be inadequate in dynamic and uncertain conditions which points to the necessity of flexible and adaptive choices.</w:t>
      </w:r>
    </w:p>
    <w:p w14:paraId="41D43831"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The results indicate that Tesla emerged due to its capacity to utilize dynamic capabilities, embrace agile management approaches, and enhance supply chain resilience. The creative platform through which the company redesigned software and adopted other semiconductor chips helped it sustain its production and competitive edge amidst the crisis.</w:t>
      </w:r>
    </w:p>
    <w:p w14:paraId="057C79D5"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The report also underscores the role of strategic leadership, technological innovation and organizational flexibility in overcoming complex challenges. The fact that Tesla has managed to incorporate these factors into its decision-making methods is indicative of how modern management strategies deal with uncertainty and disruption.</w:t>
      </w:r>
    </w:p>
    <w:p w14:paraId="135AA58A" w14:textId="77777777" w:rsidR="00C26480"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Nevertheless, the analysis also recognizes issues that come with dynamic decision-making, such as the complexity of coordination and the risks that may come along with the speed of decision-making processes. Companies should thus strike a balance between flexibility and control to foster sustainable performance.</w:t>
      </w:r>
    </w:p>
    <w:p w14:paraId="57A3301B" w14:textId="178D6BB6" w:rsidR="00AA564A" w:rsidRPr="00C26480" w:rsidRDefault="00C26480" w:rsidP="00C26480">
      <w:pPr>
        <w:spacing w:line="480" w:lineRule="auto"/>
        <w:rPr>
          <w:rFonts w:ascii="Times New Roman" w:eastAsiaTheme="majorEastAsia" w:hAnsi="Times New Roman" w:cs="Times New Roman"/>
          <w:color w:val="000000" w:themeColor="text1"/>
          <w:szCs w:val="24"/>
        </w:rPr>
      </w:pPr>
      <w:r w:rsidRPr="00C26480">
        <w:rPr>
          <w:rFonts w:ascii="Times New Roman" w:eastAsiaTheme="majorEastAsia" w:hAnsi="Times New Roman" w:cs="Times New Roman"/>
          <w:color w:val="000000" w:themeColor="text1"/>
          <w:szCs w:val="24"/>
        </w:rPr>
        <w:t xml:space="preserve">Finally, the Tesla case offers some important lessons on how companies can navigate through complicated business environments and retain the competitive edge. Through dynamic and </w:t>
      </w:r>
      <w:r w:rsidRPr="00C26480">
        <w:rPr>
          <w:rFonts w:ascii="Times New Roman" w:eastAsiaTheme="majorEastAsia" w:hAnsi="Times New Roman" w:cs="Times New Roman"/>
          <w:color w:val="000000" w:themeColor="text1"/>
          <w:szCs w:val="24"/>
        </w:rPr>
        <w:lastRenderedPageBreak/>
        <w:t>adaptive approaches, companies can maximize their resilience, efficiency in decision-making, and sustain long-term success in an increasingly unpredictable global environment.</w:t>
      </w:r>
    </w:p>
    <w:p w14:paraId="2A796F46" w14:textId="77777777" w:rsidR="00AA564A" w:rsidRPr="00C26480" w:rsidRDefault="00AA564A" w:rsidP="00AA564A">
      <w:pPr>
        <w:spacing w:line="480" w:lineRule="auto"/>
        <w:rPr>
          <w:rFonts w:ascii="Times New Roman" w:eastAsiaTheme="majorEastAsia" w:hAnsi="Times New Roman" w:cs="Times New Roman"/>
          <w:color w:val="000000" w:themeColor="text1"/>
          <w:szCs w:val="24"/>
        </w:rPr>
      </w:pPr>
    </w:p>
    <w:p w14:paraId="0FAEA6C0" w14:textId="77777777" w:rsidR="00AA564A" w:rsidRPr="00C26480" w:rsidRDefault="00AA564A" w:rsidP="00AA564A">
      <w:pPr>
        <w:spacing w:line="480" w:lineRule="auto"/>
        <w:rPr>
          <w:rFonts w:ascii="Times New Roman" w:hAnsi="Times New Roman" w:cs="Times New Roman"/>
          <w:color w:val="000000" w:themeColor="text1"/>
          <w:szCs w:val="24"/>
        </w:rPr>
      </w:pPr>
    </w:p>
    <w:p w14:paraId="3A3FD0D1" w14:textId="77777777" w:rsidR="00AA564A" w:rsidRPr="00C26480" w:rsidRDefault="00AA564A" w:rsidP="00AA564A">
      <w:pPr>
        <w:spacing w:line="480" w:lineRule="auto"/>
        <w:rPr>
          <w:rFonts w:ascii="Times New Roman" w:hAnsi="Times New Roman" w:cs="Times New Roman"/>
          <w:color w:val="000000" w:themeColor="text1"/>
          <w:szCs w:val="24"/>
        </w:rPr>
      </w:pPr>
    </w:p>
    <w:p w14:paraId="3D3ABD30" w14:textId="77777777" w:rsidR="00AA564A" w:rsidRPr="00C26480" w:rsidRDefault="00AA564A" w:rsidP="00AA564A">
      <w:pPr>
        <w:spacing w:line="480" w:lineRule="auto"/>
        <w:rPr>
          <w:rFonts w:ascii="Times New Roman" w:hAnsi="Times New Roman" w:cs="Times New Roman"/>
          <w:color w:val="000000" w:themeColor="text1"/>
          <w:szCs w:val="24"/>
        </w:rPr>
      </w:pPr>
    </w:p>
    <w:p w14:paraId="1178BD6C" w14:textId="77777777" w:rsidR="00AA564A" w:rsidRPr="00C26480" w:rsidRDefault="00AA564A" w:rsidP="00AA564A">
      <w:pPr>
        <w:spacing w:line="480" w:lineRule="auto"/>
        <w:rPr>
          <w:rFonts w:ascii="Times New Roman" w:hAnsi="Times New Roman" w:cs="Times New Roman"/>
          <w:color w:val="000000" w:themeColor="text1"/>
          <w:szCs w:val="24"/>
        </w:rPr>
      </w:pPr>
    </w:p>
    <w:p w14:paraId="600789AF" w14:textId="77777777" w:rsidR="00AA564A" w:rsidRPr="00C26480" w:rsidRDefault="00AA564A" w:rsidP="00AA564A">
      <w:pPr>
        <w:spacing w:line="480" w:lineRule="auto"/>
        <w:rPr>
          <w:rFonts w:ascii="Times New Roman" w:hAnsi="Times New Roman" w:cs="Times New Roman"/>
          <w:color w:val="000000" w:themeColor="text1"/>
          <w:szCs w:val="24"/>
        </w:rPr>
      </w:pPr>
    </w:p>
    <w:p w14:paraId="1C39FA49" w14:textId="77777777" w:rsidR="00AA564A" w:rsidRPr="00C26480" w:rsidRDefault="00AA564A" w:rsidP="00AA564A">
      <w:pPr>
        <w:spacing w:line="480" w:lineRule="auto"/>
        <w:rPr>
          <w:rFonts w:ascii="Times New Roman" w:hAnsi="Times New Roman" w:cs="Times New Roman"/>
          <w:color w:val="000000" w:themeColor="text1"/>
          <w:szCs w:val="24"/>
        </w:rPr>
      </w:pPr>
    </w:p>
    <w:p w14:paraId="774371B9" w14:textId="77777777" w:rsidR="00AA564A" w:rsidRPr="00C26480" w:rsidRDefault="00AA564A" w:rsidP="00AA564A">
      <w:pPr>
        <w:spacing w:line="480" w:lineRule="auto"/>
        <w:rPr>
          <w:rFonts w:ascii="Times New Roman" w:hAnsi="Times New Roman" w:cs="Times New Roman"/>
          <w:color w:val="000000" w:themeColor="text1"/>
          <w:szCs w:val="24"/>
        </w:rPr>
      </w:pPr>
    </w:p>
    <w:p w14:paraId="716EB0AD" w14:textId="77777777" w:rsidR="00AA564A" w:rsidRPr="00C26480" w:rsidRDefault="00AA564A" w:rsidP="00AA564A">
      <w:pPr>
        <w:spacing w:line="480" w:lineRule="auto"/>
        <w:rPr>
          <w:rFonts w:ascii="Times New Roman" w:hAnsi="Times New Roman" w:cs="Times New Roman"/>
          <w:color w:val="000000" w:themeColor="text1"/>
          <w:szCs w:val="24"/>
        </w:rPr>
      </w:pPr>
    </w:p>
    <w:p w14:paraId="3E7CE165" w14:textId="77777777" w:rsidR="00AA564A" w:rsidRPr="00C26480" w:rsidRDefault="00AA564A" w:rsidP="00AA564A">
      <w:pPr>
        <w:spacing w:line="480" w:lineRule="auto"/>
        <w:rPr>
          <w:rFonts w:ascii="Times New Roman" w:hAnsi="Times New Roman" w:cs="Times New Roman"/>
          <w:color w:val="000000" w:themeColor="text1"/>
          <w:szCs w:val="24"/>
        </w:rPr>
      </w:pPr>
    </w:p>
    <w:p w14:paraId="57DFC5F8" w14:textId="77777777" w:rsidR="00AA564A" w:rsidRPr="00C26480" w:rsidRDefault="00AA564A" w:rsidP="00AA564A">
      <w:pPr>
        <w:spacing w:line="480" w:lineRule="auto"/>
        <w:rPr>
          <w:rFonts w:ascii="Times New Roman" w:hAnsi="Times New Roman" w:cs="Times New Roman"/>
          <w:color w:val="000000" w:themeColor="text1"/>
          <w:szCs w:val="24"/>
        </w:rPr>
      </w:pPr>
    </w:p>
    <w:p w14:paraId="3EBA929C" w14:textId="77777777" w:rsidR="00AA564A" w:rsidRDefault="00AA564A" w:rsidP="00AA564A">
      <w:pPr>
        <w:spacing w:line="480" w:lineRule="auto"/>
        <w:rPr>
          <w:rFonts w:ascii="Times New Roman" w:hAnsi="Times New Roman" w:cs="Times New Roman"/>
          <w:color w:val="000000" w:themeColor="text1"/>
          <w:szCs w:val="24"/>
        </w:rPr>
      </w:pPr>
    </w:p>
    <w:p w14:paraId="265026BB" w14:textId="77777777" w:rsidR="00C26480" w:rsidRDefault="00C26480" w:rsidP="00AA564A">
      <w:pPr>
        <w:spacing w:line="480" w:lineRule="auto"/>
        <w:rPr>
          <w:rFonts w:ascii="Times New Roman" w:hAnsi="Times New Roman" w:cs="Times New Roman"/>
          <w:color w:val="000000" w:themeColor="text1"/>
          <w:szCs w:val="24"/>
        </w:rPr>
      </w:pPr>
    </w:p>
    <w:p w14:paraId="24EB58AC" w14:textId="77777777" w:rsidR="00C26480" w:rsidRDefault="00C26480" w:rsidP="00AA564A">
      <w:pPr>
        <w:spacing w:line="480" w:lineRule="auto"/>
        <w:rPr>
          <w:rFonts w:ascii="Times New Roman" w:hAnsi="Times New Roman" w:cs="Times New Roman"/>
          <w:color w:val="000000" w:themeColor="text1"/>
          <w:szCs w:val="24"/>
        </w:rPr>
      </w:pPr>
    </w:p>
    <w:p w14:paraId="16F80CF8" w14:textId="77777777" w:rsidR="00C26480" w:rsidRPr="00C26480" w:rsidRDefault="00C26480" w:rsidP="00AA564A">
      <w:pPr>
        <w:spacing w:line="480" w:lineRule="auto"/>
        <w:rPr>
          <w:rFonts w:ascii="Times New Roman" w:hAnsi="Times New Roman" w:cs="Times New Roman"/>
          <w:color w:val="000000" w:themeColor="text1"/>
          <w:szCs w:val="24"/>
        </w:rPr>
      </w:pPr>
    </w:p>
    <w:p w14:paraId="16974A82" w14:textId="77777777" w:rsidR="00AA564A" w:rsidRPr="00C26480" w:rsidRDefault="00AA564A" w:rsidP="00AA564A">
      <w:pPr>
        <w:spacing w:line="480" w:lineRule="auto"/>
        <w:rPr>
          <w:rFonts w:ascii="Times New Roman" w:hAnsi="Times New Roman" w:cs="Times New Roman"/>
          <w:color w:val="000000" w:themeColor="text1"/>
          <w:szCs w:val="24"/>
        </w:rPr>
      </w:pPr>
    </w:p>
    <w:p w14:paraId="45121CEA" w14:textId="77777777" w:rsidR="00AA564A" w:rsidRPr="00C26480" w:rsidRDefault="00AA564A" w:rsidP="00AA564A">
      <w:pPr>
        <w:pStyle w:val="Heading2"/>
        <w:rPr>
          <w:rFonts w:ascii="Times New Roman" w:hAnsi="Times New Roman" w:cs="Times New Roman"/>
          <w:b/>
          <w:bCs/>
          <w:color w:val="000000" w:themeColor="text1"/>
          <w:sz w:val="24"/>
          <w:szCs w:val="24"/>
        </w:rPr>
      </w:pPr>
      <w:bookmarkStart w:id="1" w:name="_Toc224846307"/>
      <w:r w:rsidRPr="00C26480">
        <w:rPr>
          <w:rFonts w:ascii="Times New Roman" w:hAnsi="Times New Roman" w:cs="Times New Roman"/>
          <w:b/>
          <w:bCs/>
          <w:color w:val="000000" w:themeColor="text1"/>
          <w:sz w:val="24"/>
          <w:szCs w:val="24"/>
        </w:rPr>
        <w:lastRenderedPageBreak/>
        <w:t>References</w:t>
      </w:r>
      <w:bookmarkEnd w:id="1"/>
    </w:p>
    <w:p w14:paraId="62EC25FB" w14:textId="77777777" w:rsidR="00AA564A" w:rsidRPr="00C26480" w:rsidRDefault="00AA564A" w:rsidP="00AA564A">
      <w:pPr>
        <w:rPr>
          <w:rFonts w:ascii="Times New Roman" w:hAnsi="Times New Roman" w:cs="Times New Roman"/>
        </w:rPr>
      </w:pPr>
    </w:p>
    <w:p w14:paraId="1879FA62" w14:textId="77777777" w:rsidR="00AA564A" w:rsidRPr="00C26480" w:rsidRDefault="00AA564A" w:rsidP="00AA564A">
      <w:pPr>
        <w:spacing w:line="480" w:lineRule="auto"/>
        <w:rPr>
          <w:rFonts w:ascii="Times New Roman" w:hAnsi="Times New Roman" w:cs="Times New Roman"/>
          <w:color w:val="000000" w:themeColor="text1"/>
          <w:szCs w:val="24"/>
        </w:rPr>
      </w:pPr>
      <w:r w:rsidRPr="00C26480">
        <w:rPr>
          <w:rFonts w:ascii="Times New Roman" w:hAnsi="Times New Roman" w:cs="Times New Roman"/>
          <w:color w:val="000000" w:themeColor="text1"/>
          <w:szCs w:val="24"/>
        </w:rPr>
        <w:t xml:space="preserve">Barney, J. (1991). Firm resources and sustained competitive advantage. </w:t>
      </w:r>
      <w:r w:rsidRPr="00C26480">
        <w:rPr>
          <w:rFonts w:ascii="Times New Roman" w:hAnsi="Times New Roman" w:cs="Times New Roman"/>
          <w:i/>
          <w:iCs/>
          <w:color w:val="000000" w:themeColor="text1"/>
          <w:szCs w:val="24"/>
        </w:rPr>
        <w:t>Journal of Management</w:t>
      </w:r>
      <w:r w:rsidRPr="00C26480">
        <w:rPr>
          <w:rFonts w:ascii="Times New Roman" w:hAnsi="Times New Roman" w:cs="Times New Roman"/>
          <w:color w:val="000000" w:themeColor="text1"/>
          <w:szCs w:val="24"/>
        </w:rPr>
        <w:t xml:space="preserve">, 17(1), 99–120. </w:t>
      </w:r>
      <w:hyperlink r:id="rId5" w:tgtFrame="_new" w:history="1">
        <w:r w:rsidRPr="00C26480">
          <w:rPr>
            <w:rStyle w:val="Hyperlink"/>
            <w:rFonts w:ascii="Times New Roman" w:hAnsi="Times New Roman" w:cs="Times New Roman"/>
            <w:szCs w:val="24"/>
          </w:rPr>
          <w:t>https://doi.org/10.1177/014920639101700108</w:t>
        </w:r>
      </w:hyperlink>
    </w:p>
    <w:p w14:paraId="1A87402B" w14:textId="77777777" w:rsidR="00AA564A" w:rsidRPr="00C26480" w:rsidRDefault="00AA564A" w:rsidP="00AA564A">
      <w:pPr>
        <w:spacing w:line="480" w:lineRule="auto"/>
        <w:rPr>
          <w:rFonts w:ascii="Times New Roman" w:hAnsi="Times New Roman" w:cs="Times New Roman"/>
          <w:color w:val="000000" w:themeColor="text1"/>
          <w:szCs w:val="24"/>
        </w:rPr>
      </w:pPr>
      <w:r w:rsidRPr="00C26480">
        <w:rPr>
          <w:rFonts w:ascii="Times New Roman" w:hAnsi="Times New Roman" w:cs="Times New Roman"/>
          <w:color w:val="000000" w:themeColor="text1"/>
          <w:szCs w:val="24"/>
        </w:rPr>
        <w:t xml:space="preserve">Eisenhardt, K. M., &amp; Zbaracki, M. J. (1992). Strategic decision making. </w:t>
      </w:r>
      <w:r w:rsidRPr="00C26480">
        <w:rPr>
          <w:rFonts w:ascii="Times New Roman" w:hAnsi="Times New Roman" w:cs="Times New Roman"/>
          <w:i/>
          <w:iCs/>
          <w:color w:val="000000" w:themeColor="text1"/>
          <w:szCs w:val="24"/>
        </w:rPr>
        <w:t>Strategic Management Journal</w:t>
      </w:r>
      <w:r w:rsidRPr="00C26480">
        <w:rPr>
          <w:rFonts w:ascii="Times New Roman" w:hAnsi="Times New Roman" w:cs="Times New Roman"/>
          <w:color w:val="000000" w:themeColor="text1"/>
          <w:szCs w:val="24"/>
        </w:rPr>
        <w:t xml:space="preserve">, 13(S2), 17–37. </w:t>
      </w:r>
      <w:hyperlink r:id="rId6" w:tgtFrame="_new" w:history="1">
        <w:r w:rsidRPr="00C26480">
          <w:rPr>
            <w:rStyle w:val="Hyperlink"/>
            <w:rFonts w:ascii="Times New Roman" w:hAnsi="Times New Roman" w:cs="Times New Roman"/>
            <w:szCs w:val="24"/>
          </w:rPr>
          <w:t>https://doi.org/10.1002/smj.4250130904</w:t>
        </w:r>
      </w:hyperlink>
    </w:p>
    <w:p w14:paraId="51B57ECC" w14:textId="77777777" w:rsidR="00AA564A" w:rsidRPr="00C26480" w:rsidRDefault="00AA564A" w:rsidP="00AA564A">
      <w:pPr>
        <w:spacing w:line="480" w:lineRule="auto"/>
        <w:rPr>
          <w:rFonts w:ascii="Times New Roman" w:hAnsi="Times New Roman" w:cs="Times New Roman"/>
          <w:color w:val="000000" w:themeColor="text1"/>
          <w:szCs w:val="24"/>
        </w:rPr>
      </w:pPr>
      <w:r w:rsidRPr="00C26480">
        <w:rPr>
          <w:rFonts w:ascii="Times New Roman" w:hAnsi="Times New Roman" w:cs="Times New Roman"/>
          <w:color w:val="000000" w:themeColor="text1"/>
          <w:szCs w:val="24"/>
        </w:rPr>
        <w:t xml:space="preserve">Gereffi, G. (2020). What does the COVID-19 pandemic teach us about global value chains? </w:t>
      </w:r>
      <w:r w:rsidRPr="00C26480">
        <w:rPr>
          <w:rFonts w:ascii="Times New Roman" w:hAnsi="Times New Roman" w:cs="Times New Roman"/>
          <w:i/>
          <w:iCs/>
          <w:color w:val="000000" w:themeColor="text1"/>
          <w:szCs w:val="24"/>
        </w:rPr>
        <w:t>Journal of International Business Policy</w:t>
      </w:r>
      <w:r w:rsidRPr="00C26480">
        <w:rPr>
          <w:rFonts w:ascii="Times New Roman" w:hAnsi="Times New Roman" w:cs="Times New Roman"/>
          <w:color w:val="000000" w:themeColor="text1"/>
          <w:szCs w:val="24"/>
        </w:rPr>
        <w:t xml:space="preserve">, 3(3), 287–301. </w:t>
      </w:r>
      <w:hyperlink r:id="rId7" w:tgtFrame="_new" w:history="1">
        <w:r w:rsidRPr="00C26480">
          <w:rPr>
            <w:rStyle w:val="Hyperlink"/>
            <w:rFonts w:ascii="Times New Roman" w:hAnsi="Times New Roman" w:cs="Times New Roman"/>
            <w:szCs w:val="24"/>
          </w:rPr>
          <w:t>https://doi.org/10.1057/s42214-020-00062-w</w:t>
        </w:r>
      </w:hyperlink>
    </w:p>
    <w:p w14:paraId="3ACE3565" w14:textId="77777777" w:rsidR="00AA564A" w:rsidRPr="00C26480" w:rsidRDefault="00AA564A" w:rsidP="00AA564A">
      <w:pPr>
        <w:spacing w:line="480" w:lineRule="auto"/>
        <w:rPr>
          <w:rFonts w:ascii="Times New Roman" w:hAnsi="Times New Roman" w:cs="Times New Roman"/>
          <w:color w:val="000000" w:themeColor="text1"/>
          <w:szCs w:val="24"/>
        </w:rPr>
      </w:pPr>
      <w:r w:rsidRPr="00C26480">
        <w:rPr>
          <w:rFonts w:ascii="Times New Roman" w:hAnsi="Times New Roman" w:cs="Times New Roman"/>
          <w:color w:val="000000" w:themeColor="text1"/>
          <w:szCs w:val="24"/>
        </w:rPr>
        <w:t xml:space="preserve">Ivanov, D. (2021). Supply chain viability and resilience. </w:t>
      </w:r>
      <w:r w:rsidRPr="00C26480">
        <w:rPr>
          <w:rFonts w:ascii="Times New Roman" w:hAnsi="Times New Roman" w:cs="Times New Roman"/>
          <w:i/>
          <w:iCs/>
          <w:color w:val="000000" w:themeColor="text1"/>
          <w:szCs w:val="24"/>
        </w:rPr>
        <w:t>International Journal of Production Research</w:t>
      </w:r>
      <w:r w:rsidRPr="00C26480">
        <w:rPr>
          <w:rFonts w:ascii="Times New Roman" w:hAnsi="Times New Roman" w:cs="Times New Roman"/>
          <w:color w:val="000000" w:themeColor="text1"/>
          <w:szCs w:val="24"/>
        </w:rPr>
        <w:t>, 59(12), 3531–3549. https://doi.org/10.1080/00207543.2021.1890857</w:t>
      </w:r>
    </w:p>
    <w:p w14:paraId="13E34301" w14:textId="77777777" w:rsidR="00AA564A" w:rsidRPr="00C26480" w:rsidRDefault="00AA564A" w:rsidP="00AA564A">
      <w:pPr>
        <w:spacing w:line="480" w:lineRule="auto"/>
        <w:rPr>
          <w:rFonts w:ascii="Times New Roman" w:hAnsi="Times New Roman" w:cs="Times New Roman"/>
          <w:color w:val="000000" w:themeColor="text1"/>
          <w:szCs w:val="24"/>
        </w:rPr>
      </w:pPr>
      <w:r w:rsidRPr="00C26480">
        <w:rPr>
          <w:rFonts w:ascii="Times New Roman" w:hAnsi="Times New Roman" w:cs="Times New Roman"/>
          <w:color w:val="000000" w:themeColor="text1"/>
          <w:szCs w:val="24"/>
        </w:rPr>
        <w:t xml:space="preserve">Mintzberg, H., Ahlstrand, B., &amp; Lampel, J. (2009). </w:t>
      </w:r>
      <w:r w:rsidRPr="00C26480">
        <w:rPr>
          <w:rFonts w:ascii="Times New Roman" w:hAnsi="Times New Roman" w:cs="Times New Roman"/>
          <w:i/>
          <w:iCs/>
          <w:color w:val="000000" w:themeColor="text1"/>
          <w:szCs w:val="24"/>
        </w:rPr>
        <w:t>Strategy safari</w:t>
      </w:r>
      <w:r w:rsidRPr="00C26480">
        <w:rPr>
          <w:rFonts w:ascii="Times New Roman" w:hAnsi="Times New Roman" w:cs="Times New Roman"/>
          <w:color w:val="000000" w:themeColor="text1"/>
          <w:szCs w:val="24"/>
        </w:rPr>
        <w:t>. Pearson.</w:t>
      </w:r>
    </w:p>
    <w:p w14:paraId="108E32A4" w14:textId="77777777" w:rsidR="00AA564A" w:rsidRPr="00C26480" w:rsidRDefault="00AA564A" w:rsidP="00AA564A">
      <w:pPr>
        <w:spacing w:line="480" w:lineRule="auto"/>
        <w:rPr>
          <w:rFonts w:ascii="Times New Roman" w:hAnsi="Times New Roman" w:cs="Times New Roman"/>
          <w:color w:val="000000" w:themeColor="text1"/>
          <w:szCs w:val="24"/>
        </w:rPr>
      </w:pPr>
      <w:r w:rsidRPr="00C26480">
        <w:rPr>
          <w:rFonts w:ascii="Times New Roman" w:hAnsi="Times New Roman" w:cs="Times New Roman"/>
          <w:color w:val="000000" w:themeColor="text1"/>
          <w:szCs w:val="24"/>
        </w:rPr>
        <w:t xml:space="preserve">Pisano, G. P. (2017). Toward a prescriptive theory of dynamic capabilities. </w:t>
      </w:r>
      <w:r w:rsidRPr="00C26480">
        <w:rPr>
          <w:rFonts w:ascii="Times New Roman" w:hAnsi="Times New Roman" w:cs="Times New Roman"/>
          <w:i/>
          <w:iCs/>
          <w:color w:val="000000" w:themeColor="text1"/>
          <w:szCs w:val="24"/>
        </w:rPr>
        <w:t>Industrial and Corporate Change</w:t>
      </w:r>
      <w:r w:rsidRPr="00C26480">
        <w:rPr>
          <w:rFonts w:ascii="Times New Roman" w:hAnsi="Times New Roman" w:cs="Times New Roman"/>
          <w:color w:val="000000" w:themeColor="text1"/>
          <w:szCs w:val="24"/>
        </w:rPr>
        <w:t>, 26(5), 747–762. https://doi.org/10.1093/icc/dtx026</w:t>
      </w:r>
    </w:p>
    <w:p w14:paraId="3A3976AD" w14:textId="77777777" w:rsidR="00AA564A" w:rsidRPr="00C26480" w:rsidRDefault="00AA564A" w:rsidP="00AA564A">
      <w:pPr>
        <w:spacing w:line="480" w:lineRule="auto"/>
        <w:rPr>
          <w:rFonts w:ascii="Times New Roman" w:hAnsi="Times New Roman" w:cs="Times New Roman"/>
          <w:color w:val="000000" w:themeColor="text1"/>
          <w:szCs w:val="24"/>
        </w:rPr>
      </w:pPr>
      <w:r w:rsidRPr="00C26480">
        <w:rPr>
          <w:rFonts w:ascii="Times New Roman" w:hAnsi="Times New Roman" w:cs="Times New Roman"/>
          <w:color w:val="000000" w:themeColor="text1"/>
          <w:szCs w:val="24"/>
        </w:rPr>
        <w:t xml:space="preserve">Porter, M. E. (1985). </w:t>
      </w:r>
      <w:r w:rsidRPr="00C26480">
        <w:rPr>
          <w:rFonts w:ascii="Times New Roman" w:hAnsi="Times New Roman" w:cs="Times New Roman"/>
          <w:i/>
          <w:iCs/>
          <w:color w:val="000000" w:themeColor="text1"/>
          <w:szCs w:val="24"/>
        </w:rPr>
        <w:t>Competitive advantage</w:t>
      </w:r>
      <w:r w:rsidRPr="00C26480">
        <w:rPr>
          <w:rFonts w:ascii="Times New Roman" w:hAnsi="Times New Roman" w:cs="Times New Roman"/>
          <w:color w:val="000000" w:themeColor="text1"/>
          <w:szCs w:val="24"/>
        </w:rPr>
        <w:t>. Free Press.</w:t>
      </w:r>
    </w:p>
    <w:p w14:paraId="498A8E0F" w14:textId="77777777" w:rsidR="00AA564A" w:rsidRPr="00C26480" w:rsidRDefault="00AA564A" w:rsidP="00AA564A">
      <w:pPr>
        <w:spacing w:line="480" w:lineRule="auto"/>
        <w:rPr>
          <w:rFonts w:ascii="Times New Roman" w:hAnsi="Times New Roman" w:cs="Times New Roman"/>
          <w:color w:val="000000" w:themeColor="text1"/>
          <w:szCs w:val="24"/>
        </w:rPr>
      </w:pPr>
      <w:r w:rsidRPr="00C26480">
        <w:rPr>
          <w:rFonts w:ascii="Times New Roman" w:hAnsi="Times New Roman" w:cs="Times New Roman"/>
          <w:color w:val="000000" w:themeColor="text1"/>
          <w:szCs w:val="24"/>
        </w:rPr>
        <w:t xml:space="preserve">Rigby, D. K., Sutherland, J., &amp; Takeuchi, H. (2016). Embracing agile. </w:t>
      </w:r>
      <w:r w:rsidRPr="00C26480">
        <w:rPr>
          <w:rFonts w:ascii="Times New Roman" w:hAnsi="Times New Roman" w:cs="Times New Roman"/>
          <w:i/>
          <w:iCs/>
          <w:color w:val="000000" w:themeColor="text1"/>
          <w:szCs w:val="24"/>
        </w:rPr>
        <w:t>Harvard Business Review</w:t>
      </w:r>
      <w:r w:rsidRPr="00C26480">
        <w:rPr>
          <w:rFonts w:ascii="Times New Roman" w:hAnsi="Times New Roman" w:cs="Times New Roman"/>
          <w:color w:val="000000" w:themeColor="text1"/>
          <w:szCs w:val="24"/>
        </w:rPr>
        <w:t>. https://doi.org/10.1225/R1605C</w:t>
      </w:r>
    </w:p>
    <w:p w14:paraId="6378ACAA" w14:textId="77777777" w:rsidR="00AA564A" w:rsidRPr="00C26480" w:rsidRDefault="00AA564A" w:rsidP="00AA564A">
      <w:pPr>
        <w:spacing w:line="480" w:lineRule="auto"/>
        <w:rPr>
          <w:rFonts w:ascii="Times New Roman" w:hAnsi="Times New Roman" w:cs="Times New Roman"/>
          <w:color w:val="000000" w:themeColor="text1"/>
          <w:szCs w:val="24"/>
        </w:rPr>
      </w:pPr>
      <w:r w:rsidRPr="00C26480">
        <w:rPr>
          <w:rFonts w:ascii="Times New Roman" w:hAnsi="Times New Roman" w:cs="Times New Roman"/>
          <w:color w:val="000000" w:themeColor="text1"/>
          <w:szCs w:val="24"/>
        </w:rPr>
        <w:t xml:space="preserve">Teece, D. J. (2018). Business models and dynamic capabilities. </w:t>
      </w:r>
      <w:r w:rsidRPr="00C26480">
        <w:rPr>
          <w:rFonts w:ascii="Times New Roman" w:hAnsi="Times New Roman" w:cs="Times New Roman"/>
          <w:i/>
          <w:iCs/>
          <w:color w:val="000000" w:themeColor="text1"/>
          <w:szCs w:val="24"/>
        </w:rPr>
        <w:t>Long Range Planning</w:t>
      </w:r>
      <w:r w:rsidRPr="00C26480">
        <w:rPr>
          <w:rFonts w:ascii="Times New Roman" w:hAnsi="Times New Roman" w:cs="Times New Roman"/>
          <w:color w:val="000000" w:themeColor="text1"/>
          <w:szCs w:val="24"/>
        </w:rPr>
        <w:t xml:space="preserve">, 51(1), 40–49. </w:t>
      </w:r>
      <w:hyperlink r:id="rId8" w:tgtFrame="_new" w:history="1">
        <w:r w:rsidRPr="00C26480">
          <w:rPr>
            <w:rStyle w:val="Hyperlink"/>
            <w:rFonts w:ascii="Times New Roman" w:hAnsi="Times New Roman" w:cs="Times New Roman"/>
            <w:szCs w:val="24"/>
          </w:rPr>
          <w:t>https://doi.org/10.1016/j.lrp.2017.06.007</w:t>
        </w:r>
      </w:hyperlink>
    </w:p>
    <w:p w14:paraId="2784E015" w14:textId="77777777" w:rsidR="00AA564A" w:rsidRPr="00C26480" w:rsidRDefault="00AA564A" w:rsidP="00AA564A">
      <w:pPr>
        <w:spacing w:line="480" w:lineRule="auto"/>
        <w:rPr>
          <w:rFonts w:ascii="Times New Roman" w:hAnsi="Times New Roman" w:cs="Times New Roman"/>
          <w:color w:val="000000" w:themeColor="text1"/>
          <w:szCs w:val="24"/>
        </w:rPr>
      </w:pPr>
      <w:r w:rsidRPr="00C26480">
        <w:rPr>
          <w:rFonts w:ascii="Times New Roman" w:hAnsi="Times New Roman" w:cs="Times New Roman"/>
          <w:color w:val="000000" w:themeColor="text1"/>
          <w:szCs w:val="24"/>
        </w:rPr>
        <w:t xml:space="preserve">Christopher, M., &amp; Peck, H. (2004). Building the resilient supply chain. </w:t>
      </w:r>
      <w:r w:rsidRPr="00C26480">
        <w:rPr>
          <w:rFonts w:ascii="Times New Roman" w:hAnsi="Times New Roman" w:cs="Times New Roman"/>
          <w:i/>
          <w:iCs/>
          <w:color w:val="000000" w:themeColor="text1"/>
          <w:szCs w:val="24"/>
        </w:rPr>
        <w:t>International Journal of Logistics Management</w:t>
      </w:r>
      <w:r w:rsidRPr="00C26480">
        <w:rPr>
          <w:rFonts w:ascii="Times New Roman" w:hAnsi="Times New Roman" w:cs="Times New Roman"/>
          <w:color w:val="000000" w:themeColor="text1"/>
          <w:szCs w:val="24"/>
        </w:rPr>
        <w:t xml:space="preserve">, 15(2), 1–14. </w:t>
      </w:r>
      <w:hyperlink r:id="rId9" w:tgtFrame="_new" w:history="1">
        <w:r w:rsidRPr="00C26480">
          <w:rPr>
            <w:rStyle w:val="Hyperlink"/>
            <w:rFonts w:ascii="Times New Roman" w:hAnsi="Times New Roman" w:cs="Times New Roman"/>
            <w:szCs w:val="24"/>
          </w:rPr>
          <w:t>https://doi.org/10.1108/09574090410700275</w:t>
        </w:r>
      </w:hyperlink>
    </w:p>
    <w:p w14:paraId="2F9555CE" w14:textId="77777777" w:rsidR="00AA564A" w:rsidRPr="00C26480" w:rsidRDefault="00AA564A" w:rsidP="00AA564A">
      <w:pPr>
        <w:spacing w:line="480" w:lineRule="auto"/>
        <w:rPr>
          <w:rFonts w:ascii="Times New Roman" w:hAnsi="Times New Roman" w:cs="Times New Roman"/>
          <w:color w:val="000000" w:themeColor="text1"/>
          <w:szCs w:val="24"/>
        </w:rPr>
      </w:pPr>
      <w:r w:rsidRPr="00C26480">
        <w:rPr>
          <w:rFonts w:ascii="Times New Roman" w:hAnsi="Times New Roman" w:cs="Times New Roman"/>
          <w:color w:val="000000" w:themeColor="text1"/>
          <w:szCs w:val="24"/>
        </w:rPr>
        <w:lastRenderedPageBreak/>
        <w:t xml:space="preserve">Sheffi, Y., &amp; Rice, J. B. (2005). A supply chain view of resilience. </w:t>
      </w:r>
      <w:r w:rsidRPr="00C26480">
        <w:rPr>
          <w:rFonts w:ascii="Times New Roman" w:hAnsi="Times New Roman" w:cs="Times New Roman"/>
          <w:i/>
          <w:iCs/>
          <w:color w:val="000000" w:themeColor="text1"/>
          <w:szCs w:val="24"/>
        </w:rPr>
        <w:t>MIT Sloan Management Review</w:t>
      </w:r>
      <w:r w:rsidRPr="00C26480">
        <w:rPr>
          <w:rFonts w:ascii="Times New Roman" w:hAnsi="Times New Roman" w:cs="Times New Roman"/>
          <w:color w:val="000000" w:themeColor="text1"/>
          <w:szCs w:val="24"/>
        </w:rPr>
        <w:t>, 47(1), 41–48. https://doi.org/10.2139/ssrn.699861</w:t>
      </w:r>
    </w:p>
    <w:p w14:paraId="0F0980F4" w14:textId="77777777" w:rsidR="00AA564A" w:rsidRPr="00C26480" w:rsidRDefault="00AA564A" w:rsidP="00AA564A">
      <w:pPr>
        <w:spacing w:line="480" w:lineRule="auto"/>
        <w:rPr>
          <w:rFonts w:ascii="Times New Roman" w:hAnsi="Times New Roman" w:cs="Times New Roman"/>
          <w:color w:val="000000" w:themeColor="text1"/>
          <w:szCs w:val="24"/>
        </w:rPr>
      </w:pPr>
      <w:r w:rsidRPr="00C26480">
        <w:rPr>
          <w:rFonts w:ascii="Times New Roman" w:hAnsi="Times New Roman" w:cs="Times New Roman"/>
          <w:color w:val="000000" w:themeColor="text1"/>
          <w:szCs w:val="24"/>
        </w:rPr>
        <w:t xml:space="preserve">Choi, T. Y., Rogers, D., &amp; Vakil, B. (2020). Coronavirus is a wake-up call for supply chains. </w:t>
      </w:r>
      <w:r w:rsidRPr="00C26480">
        <w:rPr>
          <w:rFonts w:ascii="Times New Roman" w:hAnsi="Times New Roman" w:cs="Times New Roman"/>
          <w:i/>
          <w:iCs/>
          <w:color w:val="000000" w:themeColor="text1"/>
          <w:szCs w:val="24"/>
        </w:rPr>
        <w:t>Harvard Business Review</w:t>
      </w:r>
      <w:r w:rsidRPr="00C26480">
        <w:rPr>
          <w:rFonts w:ascii="Times New Roman" w:hAnsi="Times New Roman" w:cs="Times New Roman"/>
          <w:color w:val="000000" w:themeColor="text1"/>
          <w:szCs w:val="24"/>
        </w:rPr>
        <w:t>. https://doi.org/10.1225/H05N5X</w:t>
      </w:r>
    </w:p>
    <w:p w14:paraId="7AA4BE32" w14:textId="77777777" w:rsidR="00AA564A" w:rsidRPr="00C26480" w:rsidRDefault="00AA564A" w:rsidP="00AA564A">
      <w:pPr>
        <w:spacing w:line="480" w:lineRule="auto"/>
        <w:rPr>
          <w:rFonts w:ascii="Times New Roman" w:hAnsi="Times New Roman" w:cs="Times New Roman"/>
          <w:color w:val="000000" w:themeColor="text1"/>
          <w:szCs w:val="24"/>
        </w:rPr>
      </w:pPr>
      <w:r w:rsidRPr="00C26480">
        <w:rPr>
          <w:rFonts w:ascii="Times New Roman" w:hAnsi="Times New Roman" w:cs="Times New Roman"/>
          <w:color w:val="000000" w:themeColor="text1"/>
          <w:szCs w:val="24"/>
        </w:rPr>
        <w:t xml:space="preserve">Ketchen, D. J., &amp; Craighead, C. W. (2020). Research at the intersection of entrepreneurship and supply chain. </w:t>
      </w:r>
      <w:r w:rsidRPr="00C26480">
        <w:rPr>
          <w:rFonts w:ascii="Times New Roman" w:hAnsi="Times New Roman" w:cs="Times New Roman"/>
          <w:i/>
          <w:iCs/>
          <w:color w:val="000000" w:themeColor="text1"/>
          <w:szCs w:val="24"/>
        </w:rPr>
        <w:t>Journal of Supply Chain Management</w:t>
      </w:r>
      <w:r w:rsidRPr="00C26480">
        <w:rPr>
          <w:rFonts w:ascii="Times New Roman" w:hAnsi="Times New Roman" w:cs="Times New Roman"/>
          <w:color w:val="000000" w:themeColor="text1"/>
          <w:szCs w:val="24"/>
        </w:rPr>
        <w:t xml:space="preserve">, 56(1), 3–16. </w:t>
      </w:r>
      <w:hyperlink r:id="rId10" w:tgtFrame="_new" w:history="1">
        <w:r w:rsidRPr="00C26480">
          <w:rPr>
            <w:rStyle w:val="Hyperlink"/>
            <w:rFonts w:ascii="Times New Roman" w:hAnsi="Times New Roman" w:cs="Times New Roman"/>
            <w:szCs w:val="24"/>
          </w:rPr>
          <w:t>https://doi.org/10.1111/jscm.12225</w:t>
        </w:r>
      </w:hyperlink>
    </w:p>
    <w:p w14:paraId="1D216ECA" w14:textId="77777777" w:rsidR="00AA564A" w:rsidRPr="00C26480" w:rsidRDefault="00AA564A" w:rsidP="00AA564A">
      <w:pPr>
        <w:spacing w:line="480" w:lineRule="auto"/>
        <w:rPr>
          <w:rFonts w:ascii="Times New Roman" w:hAnsi="Times New Roman" w:cs="Times New Roman"/>
          <w:color w:val="000000" w:themeColor="text1"/>
          <w:szCs w:val="24"/>
        </w:rPr>
      </w:pPr>
      <w:r w:rsidRPr="00C26480">
        <w:rPr>
          <w:rFonts w:ascii="Times New Roman" w:hAnsi="Times New Roman" w:cs="Times New Roman"/>
          <w:color w:val="000000" w:themeColor="text1"/>
          <w:szCs w:val="24"/>
        </w:rPr>
        <w:t xml:space="preserve">Schoemaker, P. J. H., Heaton, S., &amp; Teece, D. (2018). Innovation, dynamic capabilities. </w:t>
      </w:r>
      <w:r w:rsidRPr="00C26480">
        <w:rPr>
          <w:rFonts w:ascii="Times New Roman" w:hAnsi="Times New Roman" w:cs="Times New Roman"/>
          <w:i/>
          <w:iCs/>
          <w:color w:val="000000" w:themeColor="text1"/>
          <w:szCs w:val="24"/>
        </w:rPr>
        <w:t>California Management Review</w:t>
      </w:r>
      <w:r w:rsidRPr="00C26480">
        <w:rPr>
          <w:rFonts w:ascii="Times New Roman" w:hAnsi="Times New Roman" w:cs="Times New Roman"/>
          <w:color w:val="000000" w:themeColor="text1"/>
          <w:szCs w:val="24"/>
        </w:rPr>
        <w:t xml:space="preserve">, 61(1), 15–42. </w:t>
      </w:r>
      <w:hyperlink r:id="rId11" w:tgtFrame="_new" w:history="1">
        <w:r w:rsidRPr="00C26480">
          <w:rPr>
            <w:rStyle w:val="Hyperlink"/>
            <w:rFonts w:ascii="Times New Roman" w:hAnsi="Times New Roman" w:cs="Times New Roman"/>
            <w:szCs w:val="24"/>
          </w:rPr>
          <w:t>https://doi.org/10.1177/0008125618790246</w:t>
        </w:r>
      </w:hyperlink>
    </w:p>
    <w:p w14:paraId="26A40125" w14:textId="77777777" w:rsidR="00AA564A" w:rsidRPr="00C26480" w:rsidRDefault="00AA564A" w:rsidP="00AA564A">
      <w:pPr>
        <w:spacing w:line="480" w:lineRule="auto"/>
        <w:rPr>
          <w:rFonts w:ascii="Times New Roman" w:hAnsi="Times New Roman" w:cs="Times New Roman"/>
          <w:color w:val="000000" w:themeColor="text1"/>
          <w:szCs w:val="24"/>
        </w:rPr>
      </w:pPr>
      <w:r w:rsidRPr="00C26480">
        <w:rPr>
          <w:rFonts w:ascii="Times New Roman" w:hAnsi="Times New Roman" w:cs="Times New Roman"/>
          <w:color w:val="000000" w:themeColor="text1"/>
          <w:szCs w:val="24"/>
        </w:rPr>
        <w:t xml:space="preserve">Bode, C., &amp; Wagner, S. M. (2015). Structural drivers of supply chain resilience. </w:t>
      </w:r>
      <w:r w:rsidRPr="00C26480">
        <w:rPr>
          <w:rFonts w:ascii="Times New Roman" w:hAnsi="Times New Roman" w:cs="Times New Roman"/>
          <w:i/>
          <w:iCs/>
          <w:color w:val="000000" w:themeColor="text1"/>
          <w:szCs w:val="24"/>
        </w:rPr>
        <w:t>Journal of Operations Management</w:t>
      </w:r>
      <w:r w:rsidRPr="00C26480">
        <w:rPr>
          <w:rFonts w:ascii="Times New Roman" w:hAnsi="Times New Roman" w:cs="Times New Roman"/>
          <w:color w:val="000000" w:themeColor="text1"/>
          <w:szCs w:val="24"/>
        </w:rPr>
        <w:t xml:space="preserve">, 36, 215–228. </w:t>
      </w:r>
      <w:hyperlink r:id="rId12" w:tgtFrame="_new" w:history="1">
        <w:r w:rsidRPr="00C26480">
          <w:rPr>
            <w:rStyle w:val="Hyperlink"/>
            <w:rFonts w:ascii="Times New Roman" w:hAnsi="Times New Roman" w:cs="Times New Roman"/>
            <w:szCs w:val="24"/>
          </w:rPr>
          <w:t>https://doi.org/10.1016/j.jom.2014.11.004</w:t>
        </w:r>
      </w:hyperlink>
    </w:p>
    <w:p w14:paraId="7CCCA009" w14:textId="77777777" w:rsidR="00AA564A" w:rsidRPr="00C26480" w:rsidRDefault="00AA564A" w:rsidP="00AA564A">
      <w:pPr>
        <w:spacing w:line="480" w:lineRule="auto"/>
        <w:rPr>
          <w:rFonts w:ascii="Times New Roman" w:hAnsi="Times New Roman" w:cs="Times New Roman"/>
          <w:color w:val="000000" w:themeColor="text1"/>
          <w:szCs w:val="24"/>
        </w:rPr>
      </w:pPr>
      <w:r w:rsidRPr="00C26480">
        <w:rPr>
          <w:rFonts w:ascii="Times New Roman" w:hAnsi="Times New Roman" w:cs="Times New Roman"/>
          <w:color w:val="000000" w:themeColor="text1"/>
          <w:szCs w:val="24"/>
        </w:rPr>
        <w:t xml:space="preserve">Simchi-Levi, D., Schmidt, W., &amp; Wei, Y. (2014). From superstorms to factory fires. </w:t>
      </w:r>
      <w:r w:rsidRPr="00C26480">
        <w:rPr>
          <w:rFonts w:ascii="Times New Roman" w:hAnsi="Times New Roman" w:cs="Times New Roman"/>
          <w:i/>
          <w:iCs/>
          <w:color w:val="000000" w:themeColor="text1"/>
          <w:szCs w:val="24"/>
        </w:rPr>
        <w:t>Harvard Business Review</w:t>
      </w:r>
      <w:r w:rsidRPr="00C26480">
        <w:rPr>
          <w:rFonts w:ascii="Times New Roman" w:hAnsi="Times New Roman" w:cs="Times New Roman"/>
          <w:color w:val="000000" w:themeColor="text1"/>
          <w:szCs w:val="24"/>
        </w:rPr>
        <w:t>. https://doi.org/10.1225/R1401K</w:t>
      </w:r>
    </w:p>
    <w:p w14:paraId="512470EE" w14:textId="77777777" w:rsidR="00AA564A" w:rsidRPr="00C26480" w:rsidRDefault="00AA564A" w:rsidP="00AA564A">
      <w:pPr>
        <w:spacing w:line="480" w:lineRule="auto"/>
        <w:rPr>
          <w:rFonts w:ascii="Times New Roman" w:hAnsi="Times New Roman" w:cs="Times New Roman"/>
        </w:rPr>
      </w:pPr>
    </w:p>
    <w:p w14:paraId="0AC03B39" w14:textId="77777777" w:rsidR="00AA564A" w:rsidRPr="00C26480" w:rsidRDefault="00AA564A">
      <w:pPr>
        <w:rPr>
          <w:rFonts w:ascii="Times New Roman" w:hAnsi="Times New Roman" w:cs="Times New Roman"/>
        </w:rPr>
      </w:pPr>
    </w:p>
    <w:sectPr w:rsidR="00AA564A" w:rsidRPr="00C2648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64A"/>
    <w:rsid w:val="002431FB"/>
    <w:rsid w:val="00AA564A"/>
    <w:rsid w:val="00C26480"/>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575F6"/>
  <w15:chartTrackingRefBased/>
  <w15:docId w15:val="{3770AD8F-3E62-47AF-B405-5E8655046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564A"/>
  </w:style>
  <w:style w:type="paragraph" w:styleId="Heading1">
    <w:name w:val="heading 1"/>
    <w:basedOn w:val="Normal"/>
    <w:next w:val="Normal"/>
    <w:link w:val="Heading1Char"/>
    <w:uiPriority w:val="9"/>
    <w:qFormat/>
    <w:rsid w:val="00AA564A"/>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AA564A"/>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AA564A"/>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AA56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56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56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56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56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56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564A"/>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AA564A"/>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AA564A"/>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AA56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56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56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56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56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564A"/>
    <w:rPr>
      <w:rFonts w:eastAsiaTheme="majorEastAsia" w:cstheme="majorBidi"/>
      <w:color w:val="272727" w:themeColor="text1" w:themeTint="D8"/>
    </w:rPr>
  </w:style>
  <w:style w:type="paragraph" w:styleId="Title">
    <w:name w:val="Title"/>
    <w:basedOn w:val="Normal"/>
    <w:next w:val="Normal"/>
    <w:link w:val="TitleChar"/>
    <w:uiPriority w:val="10"/>
    <w:qFormat/>
    <w:rsid w:val="00AA564A"/>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AA564A"/>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AA564A"/>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AA564A"/>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AA564A"/>
    <w:pPr>
      <w:spacing w:before="160"/>
      <w:jc w:val="center"/>
    </w:pPr>
    <w:rPr>
      <w:i/>
      <w:iCs/>
      <w:color w:val="404040" w:themeColor="text1" w:themeTint="BF"/>
    </w:rPr>
  </w:style>
  <w:style w:type="character" w:customStyle="1" w:styleId="QuoteChar">
    <w:name w:val="Quote Char"/>
    <w:basedOn w:val="DefaultParagraphFont"/>
    <w:link w:val="Quote"/>
    <w:uiPriority w:val="29"/>
    <w:rsid w:val="00AA564A"/>
    <w:rPr>
      <w:i/>
      <w:iCs/>
      <w:color w:val="404040" w:themeColor="text1" w:themeTint="BF"/>
    </w:rPr>
  </w:style>
  <w:style w:type="paragraph" w:styleId="ListParagraph">
    <w:name w:val="List Paragraph"/>
    <w:basedOn w:val="Normal"/>
    <w:uiPriority w:val="34"/>
    <w:qFormat/>
    <w:rsid w:val="00AA564A"/>
    <w:pPr>
      <w:ind w:left="720"/>
      <w:contextualSpacing/>
    </w:pPr>
  </w:style>
  <w:style w:type="character" w:styleId="IntenseEmphasis">
    <w:name w:val="Intense Emphasis"/>
    <w:basedOn w:val="DefaultParagraphFont"/>
    <w:uiPriority w:val="21"/>
    <w:qFormat/>
    <w:rsid w:val="00AA564A"/>
    <w:rPr>
      <w:i/>
      <w:iCs/>
      <w:color w:val="0F4761" w:themeColor="accent1" w:themeShade="BF"/>
    </w:rPr>
  </w:style>
  <w:style w:type="paragraph" w:styleId="IntenseQuote">
    <w:name w:val="Intense Quote"/>
    <w:basedOn w:val="Normal"/>
    <w:next w:val="Normal"/>
    <w:link w:val="IntenseQuoteChar"/>
    <w:uiPriority w:val="30"/>
    <w:qFormat/>
    <w:rsid w:val="00AA56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564A"/>
    <w:rPr>
      <w:i/>
      <w:iCs/>
      <w:color w:val="0F4761" w:themeColor="accent1" w:themeShade="BF"/>
    </w:rPr>
  </w:style>
  <w:style w:type="character" w:styleId="IntenseReference">
    <w:name w:val="Intense Reference"/>
    <w:basedOn w:val="DefaultParagraphFont"/>
    <w:uiPriority w:val="32"/>
    <w:qFormat/>
    <w:rsid w:val="00AA564A"/>
    <w:rPr>
      <w:b/>
      <w:bCs/>
      <w:smallCaps/>
      <w:color w:val="0F4761" w:themeColor="accent1" w:themeShade="BF"/>
      <w:spacing w:val="5"/>
    </w:rPr>
  </w:style>
  <w:style w:type="character" w:styleId="Hyperlink">
    <w:name w:val="Hyperlink"/>
    <w:basedOn w:val="DefaultParagraphFont"/>
    <w:uiPriority w:val="99"/>
    <w:unhideWhenUsed/>
    <w:rsid w:val="00AA564A"/>
    <w:rPr>
      <w:color w:val="467886" w:themeColor="hyperlink"/>
      <w:u w:val="single"/>
    </w:rPr>
  </w:style>
  <w:style w:type="paragraph" w:styleId="TOCHeading">
    <w:name w:val="TOC Heading"/>
    <w:basedOn w:val="Heading1"/>
    <w:next w:val="Normal"/>
    <w:uiPriority w:val="39"/>
    <w:unhideWhenUsed/>
    <w:qFormat/>
    <w:rsid w:val="00AA564A"/>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AA564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lrp.2017.06.007"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i.org/10.1057/s42214-020-00062-w" TargetMode="External"/><Relationship Id="rId12" Type="http://schemas.openxmlformats.org/officeDocument/2006/relationships/hyperlink" Target="https://doi.org/10.1016/j.jom.2014.11.004"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02/smj.4250130904" TargetMode="External"/><Relationship Id="rId11" Type="http://schemas.openxmlformats.org/officeDocument/2006/relationships/hyperlink" Target="https://doi.org/10.1177/0008125618790246" TargetMode="External"/><Relationship Id="rId5" Type="http://schemas.openxmlformats.org/officeDocument/2006/relationships/hyperlink" Target="https://doi.org/10.1177/014920639101700108" TargetMode="External"/><Relationship Id="rId10" Type="http://schemas.openxmlformats.org/officeDocument/2006/relationships/hyperlink" Target="https://doi.org/10.1111/jscm.12225" TargetMode="External"/><Relationship Id="rId4" Type="http://schemas.openxmlformats.org/officeDocument/2006/relationships/image" Target="media/image1.png"/><Relationship Id="rId9" Type="http://schemas.openxmlformats.org/officeDocument/2006/relationships/hyperlink" Target="https://doi.org/10.1108/09574090410700275"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4232</Words>
  <Characters>24129</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2026-03-21T07:24:00Z</dcterms:created>
  <dcterms:modified xsi:type="dcterms:W3CDTF">2026-03-21T08:13:00Z</dcterms:modified>
</cp:coreProperties>
</file>